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rPr>
          <w:rStyle w:val="38"/>
          <w:rFonts w:ascii="黑体" w:eastAsia="黑体" w:hAnsi="黑体"/>
        </w:rPr>
      </w:pPr>
    </w:p>
    <w:p>
      <w:pPr>
        <w:jc w:val="center"/>
        <w:rPr>
          <w:rStyle w:val="38"/>
          <w:rFonts w:hint="eastAsia"/>
        </w:rPr>
      </w:pPr>
    </w:p>
    <w:p>
      <w:pPr>
        <w:jc w:val="center"/>
        <w:rPr>
          <w:rStyle w:val="39"/>
          <w:rFonts w:ascii="方正小标宋_GBK" w:eastAsia="方正小标宋_GBK" w:hint="eastAsia"/>
          <w:b/>
        </w:rPr>
      </w:pPr>
    </w:p>
    <w:p>
      <w:pPr>
        <w:jc w:val="center"/>
        <w:rPr>
          <w:rStyle w:val="39"/>
          <w:rFonts w:ascii="方正小标宋_GBK" w:eastAsia="方正小标宋_GBK" w:hint="eastAsia"/>
          <w:b/>
        </w:rPr>
      </w:pPr>
      <w:r>
        <w:rPr>
          <w:rStyle w:val="39"/>
          <w:rFonts w:ascii="方正小标宋_GBK" w:eastAsia="方正小标宋_GBK" w:hint="eastAsia"/>
          <w:b/>
        </w:rPr>
        <w:t>南京市住房保障和房产局</w:t>
      </w:r>
    </w:p>
    <w:p>
      <w:pPr>
        <w:jc w:val="center"/>
        <w:rPr>
          <w:rStyle w:val="38"/>
          <w:rFonts w:ascii="仿宋_GB2312" w:eastAsia="仿宋_GB2312" w:hint="eastAsia"/>
          <w:b/>
        </w:rPr>
      </w:pPr>
      <w:r>
        <w:rPr>
          <w:rStyle w:val="39"/>
          <w:rFonts w:ascii="方正小标宋_GBK" w:eastAsia="方正小标宋_GBK" w:hint="eastAsia"/>
          <w:b/>
          <w:sz w:val="72"/>
          <w:szCs w:val="72"/>
        </w:rPr>
        <w:t>有效行政规范性文件汇编</w:t>
      </w:r>
      <w:r>
        <w:rPr>
          <w:rFonts w:ascii="仿宋_GB2312" w:eastAsia="仿宋_GB2312" w:hAnsi="FZXBSK--GBK1-0" w:hint="eastAsia"/>
          <w:b/>
          <w:color w:val="000000"/>
          <w:sz w:val="72"/>
          <w:szCs w:val="72"/>
        </w:rPr>
        <w:br/>
      </w:r>
      <w:r>
        <w:rPr>
          <w:rFonts w:ascii="仿宋_GB2312" w:eastAsia="仿宋_GB2312" w:hAnsi="FZKTK--GBK1-0" w:hint="eastAsia"/>
          <w:b/>
          <w:color w:val="000000"/>
          <w:sz w:val="44"/>
          <w:szCs w:val="44"/>
        </w:rPr>
        <w:br/>
      </w:r>
    </w:p>
    <w:p>
      <w:pPr>
        <w:jc w:val="center"/>
        <w:rPr>
          <w:rStyle w:val="38"/>
          <w:rFonts w:hint="eastAsia"/>
        </w:rPr>
      </w:pPr>
    </w:p>
    <w:p>
      <w:pPr>
        <w:jc w:val="center"/>
        <w:rPr>
          <w:rStyle w:val="38"/>
          <w:rFonts w:hint="eastAsia"/>
        </w:rPr>
      </w:pPr>
    </w:p>
    <w:p>
      <w:pPr>
        <w:jc w:val="center"/>
        <w:rPr>
          <w:rStyle w:val="38"/>
          <w:rFonts w:hint="eastAsia"/>
        </w:rPr>
      </w:pPr>
    </w:p>
    <w:p>
      <w:pPr>
        <w:jc w:val="center"/>
        <w:rPr>
          <w:rStyle w:val="38"/>
          <w:rFonts w:hint="eastAsia"/>
        </w:rPr>
      </w:pPr>
    </w:p>
    <w:p>
      <w:pPr>
        <w:jc w:val="center"/>
        <w:rPr>
          <w:rStyle w:val="38"/>
          <w:rFonts w:hint="eastAsia"/>
        </w:rPr>
      </w:pPr>
    </w:p>
    <w:p>
      <w:pPr>
        <w:jc w:val="center"/>
        <w:rPr>
          <w:rStyle w:val="38"/>
          <w:rFonts w:hint="eastAsia"/>
        </w:rPr>
      </w:pPr>
    </w:p>
    <w:p>
      <w:pPr>
        <w:jc w:val="center"/>
        <w:rPr>
          <w:rStyle w:val="38"/>
          <w:rFonts w:hint="eastAsia"/>
        </w:rPr>
      </w:pPr>
    </w:p>
    <w:p>
      <w:pPr>
        <w:jc w:val="center"/>
        <w:rPr>
          <w:rStyle w:val="38"/>
          <w:rFonts w:hint="eastAsia"/>
        </w:rPr>
      </w:pPr>
    </w:p>
    <w:p>
      <w:pPr>
        <w:jc w:val="center"/>
        <w:rPr>
          <w:rStyle w:val="38"/>
          <w:rFonts w:hint="eastAsia"/>
        </w:rPr>
      </w:pPr>
    </w:p>
    <w:p>
      <w:pPr>
        <w:jc w:val="center"/>
        <w:rPr>
          <w:rStyle w:val="38"/>
          <w:rFonts w:hint="eastAsia"/>
        </w:rPr>
      </w:pPr>
    </w:p>
    <w:p>
      <w:pPr>
        <w:jc w:val="center"/>
        <w:rPr>
          <w:rStyle w:val="38"/>
          <w:rFonts w:hint="eastAsia"/>
        </w:rPr>
      </w:pPr>
    </w:p>
    <w:p>
      <w:pPr>
        <w:jc w:val="center"/>
        <w:rPr>
          <w:rStyle w:val="38"/>
          <w:rFonts w:hint="eastAsia"/>
        </w:rPr>
      </w:pPr>
    </w:p>
    <w:p>
      <w:pPr>
        <w:jc w:val="center"/>
        <w:rPr>
          <w:rStyle w:val="38"/>
          <w:rFonts w:hint="eastAsia"/>
        </w:rPr>
      </w:pPr>
    </w:p>
    <w:p>
      <w:pPr>
        <w:jc w:val="center"/>
        <w:rPr>
          <w:rStyle w:val="38"/>
          <w:rFonts w:hint="eastAsia"/>
        </w:rPr>
      </w:pPr>
    </w:p>
    <w:p>
      <w:pPr>
        <w:jc w:val="center"/>
        <w:rPr>
          <w:rStyle w:val="38"/>
          <w:rFonts w:hint="eastAsia"/>
        </w:rPr>
      </w:pPr>
    </w:p>
    <w:p>
      <w:pPr>
        <w:jc w:val="center"/>
        <w:rPr>
          <w:rStyle w:val="38"/>
          <w:rFonts w:hint="eastAsia"/>
        </w:rPr>
      </w:pPr>
    </w:p>
    <w:p>
      <w:pPr>
        <w:jc w:val="center"/>
        <w:rPr>
          <w:rStyle w:val="38"/>
          <w:rFonts w:hint="eastAsia"/>
        </w:rPr>
      </w:pPr>
    </w:p>
    <w:p>
      <w:pPr>
        <w:jc w:val="center"/>
        <w:rPr>
          <w:rStyle w:val="38"/>
          <w:rFonts w:hint="eastAsia"/>
        </w:rPr>
      </w:pPr>
    </w:p>
    <w:p>
      <w:pPr>
        <w:jc w:val="center"/>
        <w:rPr>
          <w:rStyle w:val="38"/>
          <w:rFonts w:hint="eastAsia"/>
        </w:rPr>
      </w:pPr>
    </w:p>
    <w:p>
      <w:pPr>
        <w:jc w:val="center"/>
        <w:rPr>
          <w:rStyle w:val="38"/>
          <w:rFonts w:hint="eastAsia"/>
        </w:rPr>
      </w:pPr>
    </w:p>
    <w:p>
      <w:pPr>
        <w:jc w:val="center"/>
        <w:rPr>
          <w:rStyle w:val="38"/>
          <w:rFonts w:ascii="仿宋_GB2312" w:eastAsia="仿宋_GB2312" w:cs="仿宋_GB2312" w:hAnsi="仿宋_GB2312" w:hint="eastAsia"/>
        </w:rPr>
      </w:pPr>
      <w:r>
        <w:rPr>
          <w:rStyle w:val="38"/>
          <w:rFonts w:ascii="仿宋_GB2312" w:eastAsia="仿宋_GB2312" w:cs="仿宋_GB2312" w:hAnsi="仿宋_GB2312" w:hint="eastAsia"/>
        </w:rPr>
        <w:t>南京市住房保障和房产局</w:t>
      </w:r>
      <w:r>
        <w:rPr>
          <w:rFonts w:ascii="仿宋_GB2312" w:eastAsia="仿宋_GB2312" w:cs="仿宋_GB2312" w:hAnsi="仿宋_GB2312" w:hint="eastAsia"/>
          <w:color w:val="000000"/>
          <w:sz w:val="32"/>
          <w:szCs w:val="32"/>
        </w:rPr>
        <w:br/>
      </w:r>
      <w:r>
        <w:rPr>
          <w:rStyle w:val="41"/>
          <w:rFonts w:ascii="仿宋_GB2312" w:eastAsia="仿宋_GB2312" w:cs="仿宋_GB2312" w:hAnsi="仿宋_GB2312" w:hint="eastAsia"/>
          <w:sz w:val="32"/>
          <w:szCs w:val="32"/>
        </w:rPr>
        <w:t>202</w:t>
      </w:r>
      <w:r>
        <w:rPr>
          <w:rStyle w:val="41"/>
          <w:rFonts w:ascii="仿宋_GB2312" w:eastAsia="仿宋_GB2312" w:cs="仿宋_GB2312" w:hAnsi="仿宋_GB2312" w:hint="eastAsia"/>
          <w:sz w:val="32"/>
          <w:szCs w:val="32"/>
          <w:lang w:val="en-US" w:eastAsia="zh-CN"/>
        </w:rPr>
        <w:t>6</w:t>
      </w:r>
      <w:r>
        <w:rPr>
          <w:rStyle w:val="38"/>
          <w:rFonts w:ascii="仿宋_GB2312" w:eastAsia="仿宋_GB2312" w:cs="仿宋_GB2312" w:hAnsi="仿宋_GB2312" w:hint="eastAsia"/>
        </w:rPr>
        <w:t>年</w:t>
      </w:r>
      <w:r>
        <w:rPr>
          <w:rStyle w:val="41"/>
          <w:rFonts w:ascii="仿宋_GB2312" w:eastAsia="仿宋_GB2312" w:cs="仿宋_GB2312" w:hAnsi="仿宋_GB2312" w:hint="eastAsia"/>
          <w:sz w:val="32"/>
          <w:szCs w:val="32"/>
          <w:lang w:val="en-US" w:eastAsia="zh-CN"/>
        </w:rPr>
        <w:t>8</w:t>
      </w:r>
      <w:r>
        <w:rPr>
          <w:rStyle w:val="38"/>
          <w:rFonts w:ascii="仿宋_GB2312" w:eastAsia="仿宋_GB2312" w:cs="仿宋_GB2312" w:hAnsi="仿宋_GB2312" w:hint="eastAsia"/>
        </w:rPr>
        <w:t>月</w:t>
      </w:r>
    </w:p>
    <w:p>
      <w:pPr>
        <w:widowControl/>
        <w:jc w:val="left"/>
        <w:rPr>
          <w:rStyle w:val="38"/>
          <w:rFonts w:ascii="黑体" w:eastAsia="黑体" w:hAnsi="黑体"/>
        </w:rPr>
      </w:pPr>
      <w:r>
        <w:rPr>
          <w:rStyle w:val="38"/>
          <w:rFonts w:ascii="黑体" w:eastAsia="黑体" w:hAnsi="黑体"/>
        </w:rPr>
        <w:br w:type="page"/>
      </w:r>
    </w:p>
    <w:p>
      <w:pPr>
        <w:spacing w:after="100" w:afterAutospacing="1"/>
        <w:jc w:val="center"/>
        <w:rPr>
          <w:rFonts w:ascii="黑体" w:eastAsia="黑体" w:hAnsi="黑体"/>
          <w:sz w:val="44"/>
          <w:szCs w:val="44"/>
        </w:rPr>
      </w:pPr>
      <w:r>
        <w:rPr>
          <w:rFonts w:ascii="黑体" w:eastAsia="黑体" w:hAnsi="黑体" w:hint="eastAsia"/>
          <w:sz w:val="44"/>
          <w:szCs w:val="44"/>
        </w:rPr>
        <w:t>目   录</w:t>
      </w:r>
      <w:r>
        <w:rPr>
          <w:rFonts w:ascii="黑体" w:eastAsia="黑体" w:hAnsi="黑体"/>
          <w:sz w:val="44"/>
          <w:szCs w:val="44"/>
        </w:rPr>
        <w:tab/>
      </w:r>
    </w:p>
    <w:p>
      <w:pPr>
        <w:pStyle w:val="24"/>
        <w:keepNext w:val="0"/>
        <w:keepLines w:val="0"/>
        <w:pageBreakBefore w:val="0"/>
        <w:widowControl/>
        <w:tabs>
          <w:tab w:val="right" w:leader="dot" w:pos="8296"/>
        </w:tabs>
        <w:kinsoku/>
        <w:wordWrap/>
        <w:overflowPunct/>
        <w:topLinePunct w:val="0"/>
        <w:autoSpaceDE/>
        <w:autoSpaceDN/>
        <w:bidi w:val="0"/>
        <w:adjustRightInd/>
        <w:snapToGrid/>
        <w:spacing w:line="280" w:lineRule="exact"/>
        <w:textAlignment w:val="auto"/>
        <w:rPr>
          <w:rFonts w:ascii="黑体" w:eastAsia="黑体" w:cs="黑体" w:hAnsi="黑体"/>
          <w:sz w:val="18"/>
          <w:szCs w:val="18"/>
          <w:lang w:val="en-US" w:eastAsia="zh-CN"/>
        </w:rPr>
      </w:pPr>
      <w:r>
        <w:rPr>
          <w:rFonts w:ascii="黑体" w:eastAsia="黑体" w:cs="黑体" w:hAnsi="黑体" w:hint="eastAsia"/>
          <w:sz w:val="18"/>
          <w:szCs w:val="18"/>
        </w:rPr>
        <w:t>1.关于印发《</w:t>
      </w:r>
      <w:r>
        <w:rPr>
          <w:rFonts w:ascii="黑体" w:eastAsia="黑体" w:cs="黑体" w:hAnsi="黑体" w:hint="eastAsia"/>
          <w:sz w:val="18"/>
          <w:szCs w:val="18"/>
        </w:rPr>
        <w:fldChar w:fldCharType="begin"/>
      </w:r>
      <w:r>
        <w:instrText>HYPERLINK  \l "_Toc102032419"</w:instrText>
      </w:r>
      <w:r>
        <w:rPr>
          <w:rFonts w:ascii="黑体" w:eastAsia="黑体" w:cs="黑体" w:hAnsi="黑体" w:hint="eastAsia"/>
          <w:sz w:val="18"/>
          <w:szCs w:val="18"/>
        </w:rPr>
        <w:fldChar w:fldCharType="separate"/>
      </w:r>
      <w:r>
        <w:rPr>
          <w:rFonts w:ascii="黑体" w:eastAsia="黑体" w:cs="黑体" w:hAnsi="黑体" w:hint="eastAsia"/>
          <w:sz w:val="18"/>
          <w:szCs w:val="18"/>
        </w:rPr>
        <w:t>南京市住宅物业管理项目招投标实施办法</w:t>
      </w:r>
      <w:r>
        <w:rPr>
          <w:rFonts w:ascii="黑体" w:eastAsia="黑体" w:cs="黑体" w:hAnsi="黑体" w:hint="eastAsia"/>
          <w:sz w:val="18"/>
          <w:szCs w:val="18"/>
        </w:rPr>
        <w:fldChar w:fldCharType="end"/>
      </w:r>
      <w:r>
        <w:rPr>
          <w:rFonts w:ascii="黑体" w:eastAsia="黑体" w:cs="黑体" w:hAnsi="黑体" w:hint="eastAsia"/>
          <w:sz w:val="18"/>
          <w:szCs w:val="18"/>
        </w:rPr>
        <w:t>》的通知</w:t>
      </w:r>
      <w:r>
        <w:rPr>
          <w:rFonts w:cs="黑体" w:hint="eastAsia"/>
          <w:sz w:val="18"/>
          <w:szCs w:val="18"/>
          <w:lang w:eastAsia="zh-CN"/>
        </w:rPr>
        <w:t>（</w:t>
      </w:r>
      <w:r>
        <w:rPr>
          <w:rFonts w:ascii="黑体" w:eastAsia="黑体" w:cs="黑体" w:hAnsi="黑体" w:hint="eastAsia"/>
          <w:sz w:val="18"/>
          <w:szCs w:val="18"/>
        </w:rPr>
        <w:t>宁房规字〔2016〕2号</w:t>
      </w:r>
      <w:r>
        <w:rPr>
          <w:rFonts w:cs="黑体" w:hint="eastAsia"/>
          <w:sz w:val="18"/>
          <w:szCs w:val="18"/>
          <w:lang w:eastAsia="zh-CN"/>
        </w:rPr>
        <w:t>）</w:t>
      </w:r>
    </w:p>
    <w:p>
      <w:pPr>
        <w:pStyle w:val="24"/>
        <w:keepNext w:val="0"/>
        <w:keepLines w:val="0"/>
        <w:pageBreakBefore w:val="0"/>
        <w:widowControl/>
        <w:tabs>
          <w:tab w:val="right" w:leader="dot" w:pos="8296"/>
        </w:tabs>
        <w:kinsoku/>
        <w:wordWrap/>
        <w:overflowPunct/>
        <w:topLinePunct w:val="0"/>
        <w:autoSpaceDE/>
        <w:autoSpaceDN/>
        <w:bidi w:val="0"/>
        <w:adjustRightInd/>
        <w:snapToGrid/>
        <w:spacing w:line="280" w:lineRule="exact"/>
        <w:textAlignment w:val="auto"/>
        <w:rPr>
          <w:rFonts w:ascii="黑体" w:eastAsia="黑体" w:cs="黑体" w:hAnsi="黑体"/>
          <w:sz w:val="18"/>
          <w:szCs w:val="18"/>
          <w:lang w:val="en-US" w:eastAsia="zh-CN"/>
        </w:rPr>
      </w:pPr>
      <w:r>
        <w:rPr>
          <w:rFonts w:ascii="黑体" w:eastAsia="黑体" w:cs="黑体" w:hAnsi="黑体" w:hint="eastAsia"/>
          <w:sz w:val="18"/>
          <w:szCs w:val="18"/>
        </w:rPr>
        <w:t>2.市房产局关于印发《南京市住宅区首次业主大会会议筹备经费管理办法》的通知</w:t>
      </w:r>
      <w:r>
        <w:rPr>
          <w:rFonts w:cs="黑体" w:hint="eastAsia"/>
          <w:sz w:val="18"/>
          <w:szCs w:val="18"/>
          <w:lang w:eastAsia="zh-CN"/>
        </w:rPr>
        <w:t>（</w:t>
      </w:r>
      <w:r>
        <w:rPr>
          <w:rFonts w:ascii="黑体" w:eastAsia="黑体" w:cs="黑体" w:hAnsi="黑体" w:hint="eastAsia"/>
          <w:sz w:val="18"/>
          <w:szCs w:val="18"/>
        </w:rPr>
        <w:t>宁房规字〔2016〕3号</w:t>
      </w:r>
      <w:r>
        <w:rPr>
          <w:rFonts w:cs="黑体" w:hint="eastAsia"/>
          <w:sz w:val="18"/>
          <w:szCs w:val="18"/>
          <w:lang w:eastAsia="zh-CN"/>
        </w:rPr>
        <w:t>）</w:t>
      </w:r>
    </w:p>
    <w:p>
      <w:pPr>
        <w:pStyle w:val="24"/>
        <w:keepNext w:val="0"/>
        <w:keepLines w:val="0"/>
        <w:pageBreakBefore w:val="0"/>
        <w:widowControl/>
        <w:tabs>
          <w:tab w:val="right" w:leader="dot" w:pos="8296"/>
        </w:tabs>
        <w:kinsoku/>
        <w:wordWrap/>
        <w:overflowPunct/>
        <w:topLinePunct w:val="0"/>
        <w:autoSpaceDE/>
        <w:autoSpaceDN/>
        <w:bidi w:val="0"/>
        <w:adjustRightInd/>
        <w:snapToGrid/>
        <w:spacing w:line="280" w:lineRule="exact"/>
        <w:textAlignment w:val="auto"/>
        <w:rPr>
          <w:rFonts w:ascii="黑体" w:eastAsia="黑体" w:cs="黑体" w:hAnsi="黑体"/>
          <w:sz w:val="18"/>
          <w:szCs w:val="18"/>
          <w:lang w:val="en-US"/>
        </w:rPr>
      </w:pPr>
      <w:r>
        <w:rPr>
          <w:rFonts w:cs="黑体" w:hint="eastAsia"/>
          <w:sz w:val="18"/>
          <w:szCs w:val="18"/>
          <w:lang w:val="en-US" w:eastAsia="zh-CN"/>
        </w:rPr>
        <w:t>3</w:t>
      </w:r>
      <w:r>
        <w:rPr>
          <w:rFonts w:ascii="黑体" w:eastAsia="黑体" w:cs="黑体" w:hAnsi="黑体" w:hint="eastAsia"/>
          <w:sz w:val="18"/>
          <w:szCs w:val="18"/>
        </w:rPr>
        <w:t>.关于印发《南京市房屋白蚁防治单位名录管理办法》的通知</w:t>
      </w:r>
      <w:r>
        <w:rPr>
          <w:rFonts w:cs="黑体" w:hint="eastAsia"/>
          <w:sz w:val="18"/>
          <w:szCs w:val="18"/>
          <w:lang w:eastAsia="zh-CN"/>
        </w:rPr>
        <w:t>（</w:t>
      </w:r>
      <w:r>
        <w:rPr>
          <w:rFonts w:ascii="黑体" w:eastAsia="黑体" w:cs="黑体" w:hAnsi="黑体" w:hint="eastAsia"/>
          <w:sz w:val="18"/>
          <w:szCs w:val="18"/>
        </w:rPr>
        <w:t>宁房规字〔2018〕1号</w:t>
      </w:r>
      <w:r>
        <w:rPr>
          <w:rFonts w:cs="黑体" w:hint="eastAsia"/>
          <w:sz w:val="18"/>
          <w:szCs w:val="18"/>
          <w:lang w:eastAsia="zh-CN"/>
        </w:rPr>
        <w:t>）</w:t>
      </w:r>
    </w:p>
    <w:p>
      <w:pPr>
        <w:pStyle w:val="24"/>
        <w:keepNext w:val="0"/>
        <w:keepLines w:val="0"/>
        <w:pageBreakBefore w:val="0"/>
        <w:widowControl/>
        <w:tabs>
          <w:tab w:val="right" w:leader="dot" w:pos="8296"/>
        </w:tabs>
        <w:kinsoku/>
        <w:wordWrap/>
        <w:overflowPunct/>
        <w:topLinePunct w:val="0"/>
        <w:autoSpaceDE/>
        <w:autoSpaceDN/>
        <w:bidi w:val="0"/>
        <w:adjustRightInd/>
        <w:snapToGrid/>
        <w:spacing w:line="280" w:lineRule="exact"/>
        <w:textAlignment w:val="auto"/>
        <w:rPr>
          <w:rFonts w:cs="黑体" w:hint="eastAsia"/>
          <w:sz w:val="18"/>
          <w:szCs w:val="18"/>
          <w:lang w:eastAsia="zh-CN"/>
        </w:rPr>
      </w:pPr>
      <w:r>
        <w:rPr>
          <w:rFonts w:cs="黑体" w:hint="eastAsia"/>
          <w:sz w:val="18"/>
          <w:szCs w:val="18"/>
          <w:lang w:val="en-US" w:eastAsia="zh-CN"/>
        </w:rPr>
        <w:t>4</w:t>
      </w:r>
      <w:r>
        <w:rPr>
          <w:rFonts w:ascii="黑体" w:eastAsia="黑体" w:cs="黑体" w:hAnsi="黑体" w:hint="eastAsia"/>
          <w:sz w:val="18"/>
          <w:szCs w:val="18"/>
        </w:rPr>
        <w:t>.关于印发《南京市房屋安全鉴定单位管理办法》的通知</w:t>
      </w:r>
      <w:r>
        <w:rPr>
          <w:rFonts w:cs="黑体" w:hint="eastAsia"/>
          <w:sz w:val="18"/>
          <w:szCs w:val="18"/>
          <w:lang w:eastAsia="zh-CN"/>
        </w:rPr>
        <w:t>（</w:t>
      </w:r>
      <w:r>
        <w:rPr>
          <w:rFonts w:ascii="黑体" w:eastAsia="黑体" w:cs="黑体" w:hAnsi="黑体" w:hint="eastAsia"/>
          <w:sz w:val="18"/>
          <w:szCs w:val="18"/>
        </w:rPr>
        <w:t>宁房规字〔2018〕3号</w:t>
      </w:r>
      <w:r>
        <w:rPr>
          <w:rFonts w:cs="黑体" w:hint="eastAsia"/>
          <w:sz w:val="18"/>
          <w:szCs w:val="18"/>
          <w:lang w:eastAsia="zh-CN"/>
        </w:rPr>
        <w:t>）</w:t>
      </w:r>
    </w:p>
    <w:p>
      <w:pPr>
        <w:pStyle w:val="24"/>
        <w:keepNext w:val="0"/>
        <w:keepLines w:val="0"/>
        <w:pageBreakBefore w:val="0"/>
        <w:widowControl/>
        <w:tabs>
          <w:tab w:val="right" w:leader="dot" w:pos="8296"/>
        </w:tabs>
        <w:kinsoku/>
        <w:wordWrap/>
        <w:overflowPunct/>
        <w:topLinePunct w:val="0"/>
        <w:autoSpaceDE/>
        <w:autoSpaceDN/>
        <w:bidi w:val="0"/>
        <w:adjustRightInd/>
        <w:snapToGrid/>
        <w:spacing w:line="280" w:lineRule="exact"/>
        <w:textAlignment w:val="auto"/>
        <w:rPr>
          <w:rFonts w:ascii="黑体" w:eastAsia="黑体" w:cs="黑体" w:hAnsi="黑体"/>
          <w:sz w:val="18"/>
          <w:szCs w:val="18"/>
          <w:lang w:val="en-US"/>
        </w:rPr>
      </w:pPr>
      <w:r>
        <w:rPr>
          <w:rFonts w:cs="黑体" w:hint="eastAsia"/>
          <w:sz w:val="18"/>
          <w:szCs w:val="18"/>
          <w:lang w:val="en-US" w:eastAsia="zh-CN"/>
        </w:rPr>
        <w:t>5</w:t>
      </w:r>
      <w:r>
        <w:rPr>
          <w:rFonts w:ascii="黑体" w:eastAsia="黑体" w:cs="黑体" w:hAnsi="黑体" w:hint="eastAsia"/>
          <w:sz w:val="18"/>
          <w:szCs w:val="18"/>
        </w:rPr>
        <w:t>.关于印发《南京市建筑幕墙维护检修管理办法》的通知》</w:t>
      </w:r>
      <w:r>
        <w:rPr>
          <w:rFonts w:cs="黑体" w:hint="eastAsia"/>
          <w:sz w:val="18"/>
          <w:szCs w:val="18"/>
          <w:lang w:eastAsia="zh-CN"/>
        </w:rPr>
        <w:t>（</w:t>
      </w:r>
      <w:r>
        <w:rPr>
          <w:rFonts w:ascii="黑体" w:eastAsia="黑体" w:cs="黑体" w:hAnsi="黑体" w:hint="eastAsia"/>
          <w:sz w:val="18"/>
          <w:szCs w:val="18"/>
        </w:rPr>
        <w:t>宁房规字〔2020〕1号</w:t>
      </w:r>
      <w:r>
        <w:rPr>
          <w:rFonts w:cs="黑体" w:hint="eastAsia"/>
          <w:sz w:val="18"/>
          <w:szCs w:val="18"/>
          <w:lang w:eastAsia="zh-CN"/>
        </w:rPr>
        <w:t>）</w:t>
      </w:r>
    </w:p>
    <w:p>
      <w:pPr>
        <w:pStyle w:val="24"/>
        <w:keepNext w:val="0"/>
        <w:keepLines w:val="0"/>
        <w:pageBreakBefore w:val="0"/>
        <w:widowControl/>
        <w:tabs>
          <w:tab w:val="right" w:leader="dot" w:pos="8296"/>
        </w:tabs>
        <w:kinsoku/>
        <w:wordWrap/>
        <w:overflowPunct/>
        <w:topLinePunct w:val="0"/>
        <w:autoSpaceDE/>
        <w:autoSpaceDN/>
        <w:bidi w:val="0"/>
        <w:adjustRightInd/>
        <w:snapToGrid/>
        <w:spacing w:line="280" w:lineRule="exact"/>
        <w:textAlignment w:val="auto"/>
        <w:rPr>
          <w:rFonts w:ascii="黑体" w:eastAsia="黑体" w:cs="黑体" w:hAnsi="黑体"/>
          <w:sz w:val="18"/>
          <w:szCs w:val="18"/>
          <w:lang w:val="en-US"/>
        </w:rPr>
      </w:pPr>
      <w:r>
        <w:rPr>
          <w:rFonts w:cs="黑体" w:hint="eastAsia"/>
          <w:sz w:val="18"/>
          <w:szCs w:val="18"/>
          <w:lang w:val="en-US" w:eastAsia="zh-CN"/>
        </w:rPr>
        <w:t>6</w:t>
      </w:r>
      <w:r>
        <w:rPr>
          <w:rFonts w:ascii="黑体" w:eastAsia="黑体" w:cs="黑体" w:hAnsi="黑体" w:hint="eastAsia"/>
          <w:sz w:val="18"/>
          <w:szCs w:val="18"/>
        </w:rPr>
        <w:t>.关于印发《南京市房产行政处罚自由裁量基准（房屋使用安全类）》的通知</w:t>
      </w:r>
      <w:r>
        <w:rPr>
          <w:rFonts w:cs="黑体" w:hint="eastAsia"/>
          <w:sz w:val="18"/>
          <w:szCs w:val="18"/>
          <w:lang w:eastAsia="zh-CN"/>
        </w:rPr>
        <w:t>（</w:t>
      </w:r>
      <w:r>
        <w:rPr>
          <w:rFonts w:ascii="黑体" w:eastAsia="黑体" w:cs="黑体" w:hAnsi="黑体" w:hint="eastAsia"/>
          <w:sz w:val="18"/>
          <w:szCs w:val="18"/>
        </w:rPr>
        <w:t>宁房规字〔2020〕2号</w:t>
      </w:r>
      <w:r>
        <w:rPr>
          <w:rFonts w:cs="黑体" w:hint="eastAsia"/>
          <w:sz w:val="18"/>
          <w:szCs w:val="18"/>
          <w:lang w:eastAsia="zh-CN"/>
        </w:rPr>
        <w:t>）</w:t>
      </w:r>
    </w:p>
    <w:p>
      <w:pPr>
        <w:pStyle w:val="24"/>
        <w:keepNext w:val="0"/>
        <w:keepLines w:val="0"/>
        <w:pageBreakBefore w:val="0"/>
        <w:widowControl/>
        <w:tabs>
          <w:tab w:val="right" w:leader="dot" w:pos="8296"/>
        </w:tabs>
        <w:kinsoku/>
        <w:wordWrap/>
        <w:overflowPunct/>
        <w:topLinePunct w:val="0"/>
        <w:autoSpaceDE/>
        <w:autoSpaceDN/>
        <w:bidi w:val="0"/>
        <w:adjustRightInd/>
        <w:snapToGrid/>
        <w:spacing w:line="280" w:lineRule="exact"/>
        <w:textAlignment w:val="auto"/>
        <w:rPr>
          <w:rFonts w:cs="黑体"/>
          <w:sz w:val="18"/>
          <w:szCs w:val="18"/>
          <w:lang w:val="en-US" w:eastAsia="zh-CN"/>
        </w:rPr>
      </w:pPr>
      <w:r>
        <w:rPr>
          <w:rFonts w:cs="黑体" w:hint="eastAsia"/>
          <w:sz w:val="18"/>
          <w:szCs w:val="18"/>
          <w:lang w:val="en-US" w:eastAsia="zh-CN"/>
        </w:rPr>
        <w:t>7</w:t>
      </w:r>
      <w:r>
        <w:rPr>
          <w:rFonts w:ascii="黑体" w:eastAsia="黑体" w:cs="黑体" w:hAnsi="黑体" w:hint="eastAsia"/>
          <w:sz w:val="18"/>
          <w:szCs w:val="18"/>
        </w:rPr>
        <w:t>.关于印发《南京市住房租赁企业租赁资金银行监管实施细则》的通知</w:t>
      </w:r>
      <w:r>
        <w:rPr>
          <w:rFonts w:cs="黑体" w:hint="eastAsia"/>
          <w:sz w:val="18"/>
          <w:szCs w:val="18"/>
          <w:lang w:eastAsia="zh-CN"/>
        </w:rPr>
        <w:t>（</w:t>
      </w:r>
      <w:r>
        <w:rPr>
          <w:rFonts w:ascii="黑体" w:eastAsia="黑体" w:cs="黑体" w:hAnsi="黑体" w:hint="eastAsia"/>
          <w:sz w:val="18"/>
          <w:szCs w:val="18"/>
        </w:rPr>
        <w:t>宁房规字〔2021〕1号</w:t>
      </w:r>
      <w:r>
        <w:rPr>
          <w:rFonts w:cs="黑体" w:hint="eastAsia"/>
          <w:sz w:val="18"/>
          <w:szCs w:val="18"/>
          <w:lang w:eastAsia="zh-CN"/>
        </w:rPr>
        <w:t>）</w:t>
      </w:r>
    </w:p>
    <w:p>
      <w:pPr>
        <w:pStyle w:val="24"/>
        <w:keepNext w:val="0"/>
        <w:keepLines w:val="0"/>
        <w:pageBreakBefore w:val="0"/>
        <w:widowControl/>
        <w:tabs>
          <w:tab w:val="right" w:leader="dot" w:pos="8296"/>
        </w:tabs>
        <w:kinsoku/>
        <w:wordWrap/>
        <w:overflowPunct/>
        <w:topLinePunct w:val="0"/>
        <w:autoSpaceDE/>
        <w:autoSpaceDN/>
        <w:bidi w:val="0"/>
        <w:adjustRightInd/>
        <w:snapToGrid/>
        <w:spacing w:line="280" w:lineRule="exact"/>
        <w:textAlignment w:val="auto"/>
        <w:rPr>
          <w:rFonts w:ascii="黑体" w:eastAsia="黑体" w:cs="黑体" w:hAnsi="黑体" w:hint="eastAsia"/>
          <w:sz w:val="18"/>
          <w:szCs w:val="18"/>
          <w:lang w:val="en-US" w:eastAsia="zh-CN"/>
        </w:rPr>
      </w:pPr>
      <w:r>
        <w:rPr>
          <w:rFonts w:ascii="黑体" w:eastAsia="黑体" w:cs="黑体" w:hAnsi="黑体" w:hint="eastAsia"/>
          <w:sz w:val="18"/>
          <w:szCs w:val="18"/>
          <w:lang w:val="en-US" w:eastAsia="zh-CN"/>
        </w:rPr>
        <w:t>8.关于进一步加强我市公共租赁住房管理工作的通知</w:t>
      </w:r>
      <w:r>
        <w:rPr>
          <w:rFonts w:cs="黑体" w:hint="eastAsia"/>
          <w:sz w:val="18"/>
          <w:szCs w:val="18"/>
          <w:lang w:val="en-US" w:eastAsia="zh-CN"/>
        </w:rPr>
        <w:t>（</w:t>
      </w:r>
      <w:r>
        <w:rPr>
          <w:rFonts w:ascii="黑体" w:eastAsia="黑体" w:cs="黑体" w:hAnsi="黑体" w:hint="eastAsia"/>
          <w:sz w:val="18"/>
          <w:szCs w:val="18"/>
          <w:lang w:val="en-US" w:eastAsia="zh-CN"/>
        </w:rPr>
        <w:t>宁房保字〔2023〕7号</w:t>
      </w:r>
      <w:r>
        <w:rPr>
          <w:rFonts w:cs="黑体" w:hint="eastAsia"/>
          <w:sz w:val="18"/>
          <w:szCs w:val="18"/>
          <w:lang w:val="en-US" w:eastAsia="zh-CN"/>
        </w:rPr>
        <w:t>）</w:t>
      </w:r>
    </w:p>
    <w:p>
      <w:pPr>
        <w:pStyle w:val="24"/>
        <w:keepNext w:val="0"/>
        <w:keepLines w:val="0"/>
        <w:pageBreakBefore w:val="0"/>
        <w:widowControl/>
        <w:tabs>
          <w:tab w:val="right" w:leader="dot" w:pos="8296"/>
        </w:tabs>
        <w:kinsoku/>
        <w:wordWrap/>
        <w:overflowPunct/>
        <w:topLinePunct w:val="0"/>
        <w:autoSpaceDE/>
        <w:autoSpaceDN/>
        <w:bidi w:val="0"/>
        <w:adjustRightInd/>
        <w:snapToGrid/>
        <w:spacing w:line="280" w:lineRule="exact"/>
        <w:textAlignment w:val="auto"/>
        <w:rPr>
          <w:rFonts w:ascii="黑体" w:eastAsia="黑体" w:cs="黑体" w:hAnsi="黑体"/>
          <w:sz w:val="18"/>
          <w:szCs w:val="18"/>
          <w:lang w:val="en-US"/>
        </w:rPr>
      </w:pPr>
      <w:r>
        <w:rPr>
          <w:rFonts w:cs="黑体" w:hint="eastAsia"/>
          <w:sz w:val="18"/>
          <w:szCs w:val="18"/>
          <w:lang w:val="en-US" w:eastAsia="zh-CN"/>
        </w:rPr>
        <w:t>9.</w:t>
      </w:r>
      <w:r>
        <w:rPr>
          <w:rFonts w:ascii="黑体" w:eastAsia="黑体" w:cs="黑体" w:hAnsi="黑体" w:hint="eastAsia"/>
          <w:sz w:val="18"/>
          <w:szCs w:val="18"/>
        </w:rPr>
        <w:t>关于印发《南京市房产行政处罚、行政强制裁量基准（市定事项）》的通知</w:t>
      </w:r>
      <w:r>
        <w:rPr>
          <w:rFonts w:ascii="黑体" w:eastAsia="黑体" w:cs="黑体" w:hAnsi="黑体" w:hint="eastAsia"/>
          <w:sz w:val="18"/>
          <w:szCs w:val="18"/>
          <w:lang w:eastAsia="zh-CN"/>
        </w:rPr>
        <w:t>（</w:t>
      </w:r>
      <w:r>
        <w:rPr>
          <w:rFonts w:ascii="黑体" w:eastAsia="黑体" w:cs="黑体" w:hAnsi="黑体" w:hint="eastAsia"/>
          <w:sz w:val="18"/>
          <w:szCs w:val="18"/>
        </w:rPr>
        <w:t>宁房规字〔2023〕1号</w:t>
      </w:r>
      <w:r>
        <w:rPr>
          <w:rFonts w:ascii="黑体" w:eastAsia="黑体" w:cs="黑体" w:hAnsi="黑体" w:hint="eastAsia"/>
          <w:sz w:val="18"/>
          <w:szCs w:val="18"/>
          <w:lang w:eastAsia="zh-CN"/>
        </w:rPr>
        <w:t>）</w:t>
      </w:r>
    </w:p>
    <w:p>
      <w:pPr>
        <w:pStyle w:val="24"/>
        <w:keepNext w:val="0"/>
        <w:keepLines w:val="0"/>
        <w:pageBreakBefore w:val="0"/>
        <w:widowControl/>
        <w:tabs>
          <w:tab w:val="right" w:leader="dot" w:pos="8296"/>
        </w:tabs>
        <w:kinsoku/>
        <w:wordWrap/>
        <w:overflowPunct/>
        <w:topLinePunct w:val="0"/>
        <w:autoSpaceDE/>
        <w:autoSpaceDN/>
        <w:bidi w:val="0"/>
        <w:adjustRightInd/>
        <w:snapToGrid/>
        <w:spacing w:line="280" w:lineRule="exact"/>
        <w:textAlignment w:val="auto"/>
        <w:rPr>
          <w:rFonts w:ascii="黑体" w:eastAsia="黑体" w:cs="黑体" w:hAnsi="黑体"/>
          <w:sz w:val="18"/>
          <w:szCs w:val="18"/>
          <w:lang w:val="en-US" w:eastAsia="zh-CN"/>
        </w:rPr>
      </w:pPr>
      <w:r>
        <w:rPr>
          <w:rFonts w:cs="黑体" w:hint="eastAsia"/>
          <w:sz w:val="18"/>
          <w:szCs w:val="18"/>
          <w:lang w:val="en-US" w:eastAsia="zh-CN"/>
        </w:rPr>
        <w:t>10</w:t>
      </w:r>
      <w:r>
        <w:rPr>
          <w:rFonts w:ascii="黑体" w:eastAsia="黑体" w:cs="黑体" w:hAnsi="黑体" w:hint="eastAsia"/>
          <w:sz w:val="18"/>
          <w:szCs w:val="18"/>
          <w:lang w:val="en-US" w:eastAsia="zh-CN"/>
        </w:rPr>
        <w:t>.市住房保障和房产局关于修改部门行政规范性文件的通知</w:t>
      </w:r>
      <w:r>
        <w:rPr>
          <w:rFonts w:cs="黑体" w:hint="eastAsia"/>
          <w:sz w:val="18"/>
          <w:szCs w:val="18"/>
          <w:lang w:val="en-US" w:eastAsia="zh-CN"/>
        </w:rPr>
        <w:t>（</w:t>
      </w:r>
      <w:r>
        <w:rPr>
          <w:rFonts w:ascii="黑体" w:eastAsia="黑体" w:cs="黑体" w:hAnsi="黑体" w:hint="eastAsia"/>
          <w:sz w:val="18"/>
          <w:szCs w:val="18"/>
          <w:lang w:val="en-US" w:eastAsia="zh-CN"/>
        </w:rPr>
        <w:t>宁房规字〔2023〕2号</w:t>
      </w:r>
      <w:r>
        <w:rPr>
          <w:rFonts w:cs="黑体" w:hint="eastAsia"/>
          <w:sz w:val="18"/>
          <w:szCs w:val="18"/>
          <w:lang w:val="en-US" w:eastAsia="zh-CN"/>
        </w:rPr>
        <w:t>）</w:t>
      </w:r>
    </w:p>
    <w:p>
      <w:pPr>
        <w:pStyle w:val="24"/>
        <w:keepNext w:val="0"/>
        <w:keepLines w:val="0"/>
        <w:pageBreakBefore w:val="0"/>
        <w:widowControl/>
        <w:tabs>
          <w:tab w:val="right" w:leader="dot" w:pos="8296"/>
        </w:tabs>
        <w:kinsoku/>
        <w:wordWrap/>
        <w:overflowPunct/>
        <w:topLinePunct w:val="0"/>
        <w:autoSpaceDE/>
        <w:autoSpaceDN/>
        <w:bidi w:val="0"/>
        <w:adjustRightInd/>
        <w:snapToGrid/>
        <w:spacing w:line="280" w:lineRule="exact"/>
        <w:textAlignment w:val="auto"/>
        <w:rPr>
          <w:rFonts w:ascii="黑体" w:eastAsia="黑体" w:cs="黑体" w:hAnsi="黑体"/>
          <w:sz w:val="18"/>
          <w:szCs w:val="18"/>
          <w:lang w:val="en-US" w:eastAsia="zh-CN"/>
        </w:rPr>
      </w:pPr>
      <w:r>
        <w:rPr>
          <w:rFonts w:cs="黑体" w:hint="eastAsia"/>
          <w:kern w:val="0"/>
          <w:sz w:val="18"/>
          <w:szCs w:val="18"/>
          <w:lang w:val="en-US" w:eastAsia="zh-CN" w:bidi="ar-SA"/>
        </w:rPr>
        <w:t>11</w:t>
      </w:r>
      <w:r>
        <w:rPr>
          <w:rFonts w:ascii="黑体" w:eastAsia="黑体" w:cs="黑体" w:hAnsi="黑体" w:hint="eastAsia"/>
          <w:kern w:val="0"/>
          <w:sz w:val="18"/>
          <w:szCs w:val="18"/>
          <w:lang w:val="en-US" w:eastAsia="zh-CN" w:bidi="ar-SA"/>
        </w:rPr>
        <w:t>.</w:t>
      </w:r>
      <w:r>
        <w:rPr>
          <w:rFonts w:ascii="黑体" w:eastAsia="黑体" w:cs="黑体" w:hAnsi="黑体" w:hint="eastAsia"/>
          <w:sz w:val="18"/>
          <w:szCs w:val="18"/>
          <w:lang w:val="en-US" w:eastAsia="zh-CN"/>
        </w:rPr>
        <w:t>关于进一步做好南京市存量房交易资金监管工作的通知</w:t>
      </w:r>
      <w:r>
        <w:rPr>
          <w:rFonts w:cs="黑体" w:hint="eastAsia"/>
          <w:sz w:val="18"/>
          <w:szCs w:val="18"/>
          <w:lang w:val="en-US" w:eastAsia="zh-CN"/>
        </w:rPr>
        <w:t>（</w:t>
      </w:r>
      <w:r>
        <w:rPr>
          <w:rFonts w:ascii="黑体" w:eastAsia="黑体" w:cs="黑体" w:hAnsi="黑体" w:hint="eastAsia"/>
          <w:sz w:val="18"/>
          <w:szCs w:val="18"/>
          <w:lang w:val="en-US" w:eastAsia="zh-CN"/>
        </w:rPr>
        <w:t>宁房规字〔2023〕3号</w:t>
      </w:r>
      <w:r>
        <w:rPr>
          <w:rFonts w:cs="黑体" w:hint="eastAsia"/>
          <w:sz w:val="18"/>
          <w:szCs w:val="18"/>
          <w:lang w:val="en-US" w:eastAsia="zh-CN"/>
        </w:rPr>
        <w:t>）</w:t>
      </w:r>
    </w:p>
    <w:p>
      <w:pPr>
        <w:pStyle w:val="24"/>
        <w:keepNext w:val="0"/>
        <w:keepLines w:val="0"/>
        <w:pageBreakBefore w:val="0"/>
        <w:widowControl/>
        <w:tabs>
          <w:tab w:val="right" w:leader="dot" w:pos="8296"/>
        </w:tabs>
        <w:kinsoku/>
        <w:wordWrap/>
        <w:overflowPunct/>
        <w:topLinePunct w:val="0"/>
        <w:autoSpaceDE/>
        <w:autoSpaceDN/>
        <w:bidi w:val="0"/>
        <w:adjustRightInd/>
        <w:snapToGrid/>
        <w:spacing w:line="280" w:lineRule="exact"/>
        <w:textAlignment w:val="auto"/>
        <w:rPr>
          <w:rFonts w:ascii="黑体" w:eastAsia="黑体" w:cs="黑体" w:hAnsi="黑体"/>
          <w:sz w:val="18"/>
          <w:szCs w:val="18"/>
          <w:lang w:val="en-US" w:eastAsia="zh-CN"/>
        </w:rPr>
      </w:pPr>
      <w:r>
        <w:rPr>
          <w:rFonts w:ascii="黑体" w:eastAsia="黑体" w:cs="黑体" w:hAnsi="黑体" w:hint="eastAsia"/>
          <w:sz w:val="18"/>
          <w:szCs w:val="18"/>
          <w:lang w:val="en-US" w:eastAsia="zh-CN"/>
        </w:rPr>
        <w:t>1</w:t>
      </w:r>
      <w:r>
        <w:rPr>
          <w:rFonts w:cs="黑体" w:hint="eastAsia"/>
          <w:sz w:val="18"/>
          <w:szCs w:val="18"/>
          <w:lang w:val="en-US" w:eastAsia="zh-CN"/>
        </w:rPr>
        <w:t>2</w:t>
      </w:r>
      <w:r>
        <w:rPr>
          <w:rFonts w:ascii="黑体" w:eastAsia="黑体" w:cs="黑体" w:hAnsi="黑体" w:hint="eastAsia"/>
          <w:sz w:val="18"/>
          <w:szCs w:val="18"/>
          <w:lang w:val="en-US" w:eastAsia="zh-CN"/>
        </w:rPr>
        <w:t>.关于印发《关于住宅小区部门执法清单化管理的工作方案》的通知</w:t>
      </w:r>
      <w:r>
        <w:rPr>
          <w:rFonts w:cs="黑体" w:hint="eastAsia"/>
          <w:sz w:val="18"/>
          <w:szCs w:val="18"/>
          <w:lang w:val="en-US" w:eastAsia="zh-CN"/>
        </w:rPr>
        <w:t>（</w:t>
      </w:r>
      <w:r>
        <w:rPr>
          <w:rFonts w:ascii="黑体" w:eastAsia="黑体" w:cs="黑体" w:hAnsi="黑体" w:hint="eastAsia"/>
          <w:sz w:val="18"/>
          <w:szCs w:val="18"/>
          <w:lang w:val="en-US" w:eastAsia="zh-CN"/>
        </w:rPr>
        <w:t>宁房规〔2026〕1号</w:t>
      </w:r>
      <w:r>
        <w:rPr>
          <w:rFonts w:cs="黑体" w:hint="eastAsia"/>
          <w:sz w:val="18"/>
          <w:szCs w:val="18"/>
          <w:lang w:val="en-US" w:eastAsia="zh-CN"/>
        </w:rPr>
        <w:t>）</w:t>
      </w:r>
    </w:p>
    <w:p>
      <w:pPr>
        <w:pStyle w:val="24"/>
        <w:keepNext w:val="0"/>
        <w:keepLines w:val="0"/>
        <w:pageBreakBefore w:val="0"/>
        <w:widowControl/>
        <w:tabs>
          <w:tab w:val="right" w:leader="dot" w:pos="8296"/>
        </w:tabs>
        <w:kinsoku/>
        <w:wordWrap/>
        <w:overflowPunct/>
        <w:topLinePunct w:val="0"/>
        <w:autoSpaceDE/>
        <w:autoSpaceDN/>
        <w:bidi w:val="0"/>
        <w:adjustRightInd/>
        <w:snapToGrid/>
        <w:spacing w:line="280" w:lineRule="exact"/>
        <w:textAlignment w:val="auto"/>
        <w:rPr>
          <w:rFonts w:cs="黑体"/>
          <w:sz w:val="18"/>
          <w:szCs w:val="18"/>
          <w:lang w:val="en-US" w:eastAsia="zh-CN"/>
        </w:rPr>
      </w:pPr>
      <w:r>
        <w:rPr>
          <w:rFonts w:cs="黑体" w:hint="eastAsia"/>
          <w:sz w:val="18"/>
          <w:szCs w:val="18"/>
          <w:lang w:val="en-US" w:eastAsia="zh-CN"/>
        </w:rPr>
        <w:t>13.南京市住房保障和房产局关于修改和废止部分部门行政规范性文件的通知（</w:t>
      </w:r>
      <w:r>
        <w:rPr>
          <w:rFonts w:ascii="黑体" w:eastAsia="黑体" w:cs="黑体" w:hAnsi="黑体" w:hint="eastAsia"/>
          <w:sz w:val="18"/>
          <w:szCs w:val="18"/>
          <w:lang w:val="en-US" w:eastAsia="zh-CN"/>
        </w:rPr>
        <w:t>宁房规〔2026〕</w:t>
      </w:r>
      <w:r>
        <w:rPr>
          <w:rFonts w:cs="黑体" w:hint="eastAsia"/>
          <w:sz w:val="18"/>
          <w:szCs w:val="18"/>
          <w:lang w:val="en-US" w:eastAsia="zh-CN"/>
        </w:rPr>
        <w:t>2</w:t>
      </w:r>
      <w:r>
        <w:rPr>
          <w:rFonts w:ascii="黑体" w:eastAsia="黑体" w:cs="黑体" w:hAnsi="黑体" w:hint="eastAsia"/>
          <w:sz w:val="18"/>
          <w:szCs w:val="18"/>
          <w:lang w:val="en-US" w:eastAsia="zh-CN"/>
        </w:rPr>
        <w:t>号</w:t>
      </w:r>
      <w:r>
        <w:rPr>
          <w:rFonts w:cs="黑体" w:hint="eastAsia"/>
          <w:sz w:val="18"/>
          <w:szCs w:val="18"/>
          <w:lang w:val="en-US" w:eastAsia="zh-CN"/>
        </w:rPr>
        <w:t>）</w:t>
      </w:r>
    </w:p>
    <w:p>
      <w:pPr>
        <w:rPr>
          <w:rFonts w:ascii="方正小标宋简体" w:eastAsia="方正小标宋简体" w:hint="eastAsia"/>
          <w:sz w:val="44"/>
          <w:szCs w:val="44"/>
        </w:rPr>
      </w:pPr>
      <w:r>
        <w:rPr>
          <w:rFonts w:ascii="方正小标宋简体" w:eastAsia="方正小标宋简体" w:hint="eastAsia"/>
          <w:sz w:val="44"/>
          <w:szCs w:val="44"/>
        </w:rPr>
        <w:br w:type="page"/>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方正小标宋简体" w:eastAsia="方正小标宋简体"/>
          <w:sz w:val="44"/>
          <w:szCs w:val="44"/>
        </w:rPr>
      </w:pPr>
      <w:r>
        <w:rPr>
          <w:rFonts w:ascii="方正小标宋简体" w:eastAsia="方正小标宋简体" w:hint="eastAsia"/>
          <w:sz w:val="44"/>
          <w:szCs w:val="44"/>
        </w:rPr>
        <w:t>关于印发《南京市住宅物业管理项目</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方正小标宋简体" w:eastAsia="方正小标宋简体"/>
          <w:sz w:val="44"/>
          <w:szCs w:val="44"/>
        </w:rPr>
      </w:pPr>
      <w:r>
        <w:rPr>
          <w:rFonts w:ascii="方正小标宋简体" w:eastAsia="方正小标宋简体" w:hint="eastAsia"/>
          <w:sz w:val="44"/>
          <w:szCs w:val="44"/>
        </w:rPr>
        <w:t>招投标实施办法》的通知</w:t>
      </w:r>
    </w:p>
    <w:p>
      <w:pPr>
        <w:jc w:val="center"/>
        <w:rPr>
          <w:rFonts w:ascii="方正楷体_GBK" w:eastAsia="方正楷体_GBK"/>
          <w:sz w:val="32"/>
          <w:szCs w:val="32"/>
        </w:rPr>
      </w:pPr>
      <w:r>
        <w:rPr>
          <w:rFonts w:ascii="仿宋_GB2312" w:eastAsia="仿宋_GB2312" w:cs="仿宋_GB2312" w:hAnsi="仿宋_GB2312" w:hint="eastAsia"/>
          <w:sz w:val="32"/>
          <w:szCs w:val="32"/>
        </w:rPr>
        <w:t>宁房规字〔2016〕2号</w:t>
      </w:r>
    </w:p>
    <w:p>
      <w:pPr>
        <w:spacing w:line="640" w:lineRule="exact"/>
        <w:rPr>
          <w:rFonts w:ascii="Times New Roman" w:eastAsia="仿宋_GB2312" w:hAnsi="Times New Roman"/>
          <w:sz w:val="32"/>
          <w:szCs w:val="32"/>
        </w:rPr>
      </w:pPr>
      <w:r>
        <w:rPr>
          <w:rFonts w:ascii="Times New Roman" w:eastAsia="仿宋_GB2312" w:hAnsi="Times New Roman"/>
          <w:sz w:val="32"/>
          <w:szCs w:val="32"/>
        </w:rPr>
        <w:t>各有关单位：</w:t>
      </w:r>
    </w:p>
    <w:p>
      <w:pPr>
        <w:spacing w:line="640" w:lineRule="exact"/>
        <w:ind w:firstLineChars="200" w:firstLine="640"/>
        <w:rPr>
          <w:rFonts w:ascii="Times New Roman" w:eastAsia="仿宋_GB2312" w:hAnsi="Times New Roman"/>
          <w:sz w:val="32"/>
          <w:szCs w:val="32"/>
        </w:rPr>
      </w:pPr>
      <w:r>
        <w:rPr>
          <w:rFonts w:ascii="Times New Roman" w:eastAsia="仿宋_GB2312" w:hAnsi="Times New Roman"/>
          <w:sz w:val="32"/>
          <w:szCs w:val="32"/>
        </w:rPr>
        <w:t>现将《南京市住宅物业管理项目招投标实施办法》印发给你们，请认真贯彻执行。</w:t>
      </w:r>
    </w:p>
    <w:p>
      <w:pPr>
        <w:spacing w:line="640" w:lineRule="exact"/>
        <w:ind w:firstLineChars="200" w:firstLine="640"/>
        <w:rPr>
          <w:rFonts w:ascii="Times New Roman" w:eastAsia="仿宋_GB2312" w:hAnsi="Times New Roman"/>
          <w:sz w:val="32"/>
          <w:szCs w:val="32"/>
        </w:rPr>
      </w:pPr>
    </w:p>
    <w:p>
      <w:pPr>
        <w:spacing w:line="360" w:lineRule="auto"/>
        <w:ind w:firstLineChars="200" w:firstLine="640"/>
        <w:rPr>
          <w:rFonts w:ascii="仿宋_GB2312" w:eastAsia="仿宋_GB2312"/>
          <w:sz w:val="32"/>
          <w:szCs w:val="32"/>
        </w:rPr>
      </w:pPr>
    </w:p>
    <w:p>
      <w:pPr>
        <w:spacing w:line="640" w:lineRule="exact"/>
        <w:ind w:firstLine="645"/>
        <w:rPr>
          <w:rFonts w:eastAsia="仿宋_GB2312"/>
          <w:sz w:val="32"/>
          <w:szCs w:val="32"/>
        </w:rPr>
      </w:pPr>
    </w:p>
    <w:p>
      <w:pPr>
        <w:spacing w:line="520" w:lineRule="exact"/>
        <w:ind w:right="-74"/>
        <w:rPr>
          <w:rFonts w:ascii="仿宋_GB2312" w:eastAsia="仿宋_GB2312" w:cs="仿宋_GB2312" w:hAnsi="仿宋_GB2312" w:hint="eastAsia"/>
          <w:sz w:val="32"/>
          <w:szCs w:val="32"/>
        </w:rPr>
      </w:pPr>
      <w:r>
        <w:rPr>
          <w:rFonts w:ascii="Times New Roman" w:eastAsia="仿宋_GB2312" w:hAnsi="Times New Roman"/>
          <w:sz w:val="32"/>
          <w:szCs w:val="32"/>
        </w:rPr>
        <w:t>　　　　　　　　　　　　　</w:t>
      </w:r>
      <w:r>
        <w:rPr>
          <w:rFonts w:ascii="仿宋_GB2312" w:eastAsia="仿宋_GB2312" w:cs="仿宋_GB2312" w:hAnsi="仿宋_GB2312" w:hint="eastAsia"/>
          <w:sz w:val="32"/>
          <w:szCs w:val="32"/>
        </w:rPr>
        <w:t>南京市住房保障和房产局</w:t>
      </w:r>
    </w:p>
    <w:p>
      <w:pPr>
        <w:spacing w:line="520" w:lineRule="exact"/>
        <w:ind w:firstLineChars="1631" w:firstLine="5219"/>
        <w:rPr>
          <w:rFonts w:ascii="Times New Roman" w:eastAsia="仿宋_GB2312" w:hAnsi="Times New Roman"/>
          <w:sz w:val="32"/>
          <w:szCs w:val="32"/>
        </w:rPr>
      </w:pPr>
      <w:r>
        <w:rPr>
          <w:rFonts w:ascii="仿宋_GB2312" w:eastAsia="仿宋_GB2312" w:cs="仿宋_GB2312" w:hAnsi="仿宋_GB2312" w:hint="eastAsia"/>
          <w:sz w:val="32"/>
          <w:szCs w:val="32"/>
        </w:rPr>
        <w:t>2016年12月27日</w:t>
      </w:r>
    </w:p>
    <w:p>
      <w:pPr>
        <w:widowControl/>
        <w:jc w:val="left"/>
        <w:rPr>
          <w:rFonts w:ascii="黑体" w:eastAsia="黑体" w:hAnsi="黑体"/>
        </w:rPr>
      </w:pPr>
      <w:r>
        <w:rPr>
          <w:rFonts w:ascii="黑体" w:eastAsia="黑体" w:hAnsi="黑体"/>
        </w:rPr>
        <w:br w:type="page"/>
      </w:r>
    </w:p>
    <w:p>
      <w:pPr>
        <w:spacing w:line="360" w:lineRule="auto"/>
        <w:jc w:val="center"/>
        <w:rPr>
          <w:rFonts w:ascii="方正小标宋简体" w:eastAsia="方正小标宋简体"/>
          <w:sz w:val="44"/>
          <w:szCs w:val="44"/>
        </w:rPr>
      </w:pPr>
      <w:r>
        <w:rPr>
          <w:rFonts w:ascii="方正小标宋简体" w:eastAsia="方正小标宋简体" w:hint="eastAsia"/>
          <w:sz w:val="44"/>
          <w:szCs w:val="44"/>
        </w:rPr>
        <w:t>南京市住宅物业管理项目招投标实施办法</w:t>
      </w:r>
    </w:p>
    <w:p>
      <w:pPr>
        <w:spacing w:line="360" w:lineRule="auto"/>
        <w:ind w:firstLineChars="200" w:firstLine="880"/>
        <w:jc w:val="center"/>
        <w:rPr>
          <w:rFonts w:ascii="方正小标宋简体" w:eastAsia="方正小标宋简体"/>
          <w:sz w:val="44"/>
          <w:szCs w:val="44"/>
        </w:rPr>
      </w:pPr>
    </w:p>
    <w:p>
      <w:pPr>
        <w:numPr>
          <w:ilvl w:val="0"/>
          <w:numId w:val="1"/>
        </w:numPr>
        <w:tabs>
          <w:tab w:val="clear" w:pos="420"/>
          <w:tab w:val="left" w:pos="180"/>
        </w:tabs>
        <w:spacing w:line="360" w:lineRule="auto"/>
        <w:ind w:left="0" w:firstLineChars="206" w:firstLine="659"/>
        <w:rPr>
          <w:rFonts w:ascii="仿宋_GB2312" w:eastAsia="仿宋_GB2312"/>
          <w:sz w:val="32"/>
          <w:szCs w:val="32"/>
        </w:rPr>
      </w:pPr>
      <w:r>
        <w:rPr>
          <w:rFonts w:ascii="仿宋_GB2312" w:eastAsia="仿宋_GB2312" w:hint="eastAsia"/>
          <w:sz w:val="32"/>
          <w:szCs w:val="32"/>
        </w:rPr>
        <w:t xml:space="preserve">  为规范物业管理招投标活动，保护物业管理招投标当事人的合法权益，促进物业管理市场的公平竞争和物业管理行业的有序发展，根据《中华人民共和国招标投标法》、国务院《物业管理条例》、《江苏省物业管理条例》、《南京市住宅物业管理条例》等相关规定，结合本市实际情况，制定本办法。</w:t>
      </w:r>
    </w:p>
    <w:p>
      <w:pPr>
        <w:numPr>
          <w:ilvl w:val="0"/>
          <w:numId w:val="1"/>
        </w:numPr>
        <w:tabs>
          <w:tab w:val="clear" w:pos="420"/>
        </w:tabs>
        <w:spacing w:line="360" w:lineRule="auto"/>
        <w:ind w:left="0" w:firstLineChars="200" w:firstLine="640"/>
        <w:rPr>
          <w:rFonts w:ascii="仿宋_GB2312" w:eastAsia="仿宋_GB2312"/>
          <w:sz w:val="32"/>
          <w:szCs w:val="32"/>
        </w:rPr>
      </w:pPr>
      <w:r>
        <w:rPr>
          <w:rFonts w:ascii="仿宋_GB2312" w:eastAsia="仿宋_GB2312" w:hint="eastAsia"/>
          <w:sz w:val="32"/>
          <w:szCs w:val="32"/>
        </w:rPr>
        <w:t xml:space="preserve">  本市行政区域内的住宅物业管理项目招投标活动及监督管理，适用本办法。</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本办法所称住宅物业管理项目招投标，是指住宅项目的建设单位、业主组织等招标人通过招投标方式，选聘物业服务企业的活动。</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本办法所称住宅物业管理项目，包括住宅、与住宅同在一个物业管理区域内的非住宅。</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本办法所称前期物业管理招投标，是指住宅物业管理项目成立业主组织之前，由建设单位通过招投标选聘物业服务企业的活动。</w:t>
      </w:r>
    </w:p>
    <w:p>
      <w:pPr>
        <w:numPr>
          <w:ilvl w:val="0"/>
          <w:numId w:val="1"/>
        </w:numPr>
        <w:spacing w:line="360" w:lineRule="auto"/>
        <w:ind w:left="0" w:firstLineChars="200" w:firstLine="640"/>
        <w:rPr>
          <w:rFonts w:ascii="仿宋_GB2312" w:eastAsia="仿宋_GB2312"/>
          <w:sz w:val="32"/>
          <w:szCs w:val="32"/>
        </w:rPr>
      </w:pPr>
      <w:r>
        <w:rPr>
          <w:rFonts w:ascii="仿宋_GB2312" w:eastAsia="仿宋_GB2312" w:hint="eastAsia"/>
          <w:sz w:val="32"/>
          <w:szCs w:val="32"/>
        </w:rPr>
        <w:t xml:space="preserve">  市物业管理行政主管部门负责全市物业管理招投标活动的监督管理。</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各区、江北新区物业管理行政主管部门按照规定职责分工，做好辖区住宅物业管理项目的招投标日常监督管理工作。</w:t>
      </w:r>
    </w:p>
    <w:p>
      <w:pPr>
        <w:numPr>
          <w:ilvl w:val="0"/>
          <w:numId w:val="1"/>
        </w:numPr>
        <w:spacing w:line="360" w:lineRule="auto"/>
        <w:ind w:left="0" w:firstLineChars="200" w:firstLine="640"/>
        <w:rPr>
          <w:rFonts w:ascii="仿宋_GB2312" w:eastAsia="仿宋_GB2312"/>
          <w:sz w:val="32"/>
          <w:szCs w:val="32"/>
        </w:rPr>
      </w:pPr>
      <w:r>
        <w:rPr>
          <w:rFonts w:ascii="仿宋_GB2312" w:eastAsia="仿宋_GB2312" w:hint="eastAsia"/>
          <w:sz w:val="32"/>
          <w:szCs w:val="32"/>
        </w:rPr>
        <w:t xml:space="preserve">  住宅物业管理项目的建设单位，应当依法通过招投标方式选聘具有相应条件的物业服务企业，提供前期物业服务。</w:t>
      </w:r>
    </w:p>
    <w:p>
      <w:pPr>
        <w:numPr>
          <w:ilvl w:val="0"/>
          <w:numId w:val="1"/>
        </w:numPr>
        <w:spacing w:line="360" w:lineRule="auto"/>
        <w:ind w:left="0" w:firstLineChars="200" w:firstLine="640"/>
        <w:rPr>
          <w:rFonts w:ascii="仿宋_GB2312" w:eastAsia="仿宋_GB2312"/>
          <w:sz w:val="32"/>
          <w:szCs w:val="32"/>
        </w:rPr>
      </w:pPr>
      <w:r>
        <w:rPr>
          <w:rFonts w:ascii="仿宋_GB2312" w:eastAsia="仿宋_GB2312" w:hint="eastAsia"/>
          <w:sz w:val="32"/>
          <w:szCs w:val="32"/>
        </w:rPr>
        <w:t xml:space="preserve">  市物业管理行政主管部门建立本市统一的物业管理招投标平台（以下简称“招投标平台”），为物业管理招投标活动提供指导和服务。</w:t>
      </w:r>
    </w:p>
    <w:p>
      <w:pPr>
        <w:spacing w:line="360" w:lineRule="auto"/>
        <w:ind w:firstLineChars="225" w:firstLine="720"/>
        <w:rPr>
          <w:rFonts w:ascii="仿宋_GB2312" w:eastAsia="仿宋_GB2312"/>
          <w:sz w:val="32"/>
          <w:szCs w:val="32"/>
        </w:rPr>
      </w:pPr>
      <w:r>
        <w:rPr>
          <w:rFonts w:ascii="仿宋_GB2312" w:eastAsia="仿宋_GB2312" w:hint="eastAsia"/>
          <w:sz w:val="32"/>
          <w:szCs w:val="32"/>
        </w:rPr>
        <w:t>提倡建设单位、业主大会通过招投标平台选聘物业服务企业。</w:t>
      </w:r>
    </w:p>
    <w:p>
      <w:pPr>
        <w:numPr>
          <w:ilvl w:val="0"/>
          <w:numId w:val="1"/>
        </w:numPr>
        <w:spacing w:line="360" w:lineRule="auto"/>
        <w:ind w:left="0" w:firstLineChars="200" w:firstLine="640"/>
        <w:rPr>
          <w:rFonts w:ascii="仿宋_GB2312" w:eastAsia="仿宋_GB2312"/>
          <w:sz w:val="32"/>
          <w:szCs w:val="32"/>
        </w:rPr>
      </w:pPr>
      <w:r>
        <w:rPr>
          <w:rFonts w:ascii="仿宋_GB2312" w:eastAsia="仿宋_GB2312" w:hint="eastAsia"/>
          <w:sz w:val="32"/>
          <w:szCs w:val="32"/>
        </w:rPr>
        <w:t xml:space="preserve">  建设单位应当在发布招标公告或者发出投标邀请书的十日前，提交下列材料报各区、江北新区物业管理行政主管部门备案，并可选择通过招投标平台发布招标公告：</w:t>
      </w:r>
    </w:p>
    <w:p>
      <w:pPr>
        <w:spacing w:line="360" w:lineRule="auto"/>
        <w:ind w:firstLineChars="225" w:firstLine="720"/>
        <w:rPr>
          <w:rFonts w:ascii="仿宋_GB2312" w:eastAsia="仿宋_GB2312"/>
          <w:sz w:val="32"/>
          <w:szCs w:val="32"/>
        </w:rPr>
      </w:pPr>
      <w:r>
        <w:rPr>
          <w:rFonts w:ascii="仿宋_GB2312" w:eastAsia="仿宋_GB2312" w:hint="eastAsia"/>
          <w:sz w:val="32"/>
          <w:szCs w:val="32"/>
        </w:rPr>
        <w:t>（一）招标项目的建设项目批文、国有建设用地不动产权证</w:t>
      </w:r>
      <w:r>
        <w:rPr>
          <w:rFonts w:ascii="仿宋_GB2312" w:eastAsia="仿宋_GB2312"/>
          <w:sz w:val="32"/>
          <w:szCs w:val="32"/>
        </w:rPr>
        <w:t>（国有土地使用权出让合同）</w:t>
      </w:r>
      <w:r>
        <w:rPr>
          <w:rFonts w:ascii="仿宋_GB2312" w:eastAsia="仿宋_GB2312" w:hint="eastAsia"/>
          <w:sz w:val="32"/>
          <w:szCs w:val="32"/>
        </w:rPr>
        <w:t>、规划方案审定意见书</w:t>
      </w:r>
      <w:r>
        <w:rPr>
          <w:rFonts w:ascii="仿宋_GB2312" w:eastAsia="仿宋_GB2312"/>
          <w:sz w:val="32"/>
          <w:szCs w:val="32"/>
        </w:rPr>
        <w:t>（</w:t>
      </w:r>
      <w:r>
        <w:rPr>
          <w:rFonts w:ascii="仿宋_GB2312" w:eastAsia="仿宋_GB2312" w:hint="eastAsia"/>
          <w:sz w:val="32"/>
          <w:szCs w:val="32"/>
        </w:rPr>
        <w:t>总平图</w:t>
      </w:r>
      <w:r>
        <w:rPr>
          <w:rFonts w:ascii="仿宋_GB2312" w:eastAsia="仿宋_GB2312"/>
          <w:sz w:val="32"/>
          <w:szCs w:val="32"/>
        </w:rPr>
        <w:t>）</w:t>
      </w:r>
      <w:r>
        <w:rPr>
          <w:rFonts w:ascii="仿宋_GB2312" w:eastAsia="仿宋_GB2312" w:hint="eastAsia"/>
          <w:sz w:val="32"/>
          <w:szCs w:val="32"/>
        </w:rPr>
        <w:t>；</w:t>
      </w:r>
    </w:p>
    <w:p>
      <w:pPr>
        <w:spacing w:line="360" w:lineRule="auto"/>
        <w:ind w:firstLineChars="225" w:firstLine="720"/>
        <w:rPr>
          <w:rFonts w:ascii="仿宋_GB2312" w:eastAsia="仿宋_GB2312"/>
          <w:sz w:val="32"/>
          <w:szCs w:val="32"/>
        </w:rPr>
      </w:pPr>
      <w:r>
        <w:rPr>
          <w:rFonts w:ascii="仿宋_GB2312" w:eastAsia="仿宋_GB2312" w:hint="eastAsia"/>
          <w:sz w:val="32"/>
          <w:szCs w:val="32"/>
        </w:rPr>
        <w:t>（二）招标公告或者投标邀请书；</w:t>
      </w:r>
    </w:p>
    <w:p>
      <w:pPr>
        <w:spacing w:line="360" w:lineRule="auto"/>
        <w:ind w:firstLineChars="225" w:firstLine="720"/>
        <w:rPr>
          <w:rFonts w:ascii="仿宋_GB2312" w:eastAsia="仿宋_GB2312"/>
          <w:sz w:val="32"/>
          <w:szCs w:val="32"/>
        </w:rPr>
      </w:pPr>
      <w:r>
        <w:rPr>
          <w:rFonts w:ascii="仿宋_GB2312" w:eastAsia="仿宋_GB2312" w:hint="eastAsia"/>
          <w:sz w:val="32"/>
          <w:szCs w:val="32"/>
        </w:rPr>
        <w:t>（三）招标文件；</w:t>
      </w:r>
    </w:p>
    <w:p>
      <w:pPr>
        <w:spacing w:line="360" w:lineRule="auto"/>
        <w:ind w:firstLineChars="225" w:firstLine="720"/>
        <w:rPr>
          <w:rFonts w:ascii="仿宋_GB2312" w:eastAsia="仿宋_GB2312"/>
          <w:sz w:val="32"/>
          <w:szCs w:val="32"/>
        </w:rPr>
      </w:pPr>
      <w:r>
        <w:rPr>
          <w:rFonts w:ascii="仿宋_GB2312" w:eastAsia="仿宋_GB2312" w:hint="eastAsia"/>
          <w:sz w:val="32"/>
          <w:szCs w:val="32"/>
        </w:rPr>
        <w:t>（四）代理招标</w:t>
      </w:r>
      <w:r>
        <w:rPr>
          <w:rFonts w:ascii="仿宋_GB2312" w:eastAsia="仿宋_GB2312" w:hint="eastAsia"/>
          <w:sz w:val="32"/>
          <w:szCs w:val="32"/>
        </w:rPr>
        <w:fldChar w:fldCharType="begin"/>
      </w:r>
      <w:r>
        <w:instrText>HYPERLINK "http://www.lawtime.cn/info/hetong/htfanben/weituo/"</w:instrText>
      </w:r>
      <w:r>
        <w:rPr>
          <w:rFonts w:ascii="仿宋_GB2312" w:eastAsia="仿宋_GB2312" w:hint="eastAsia"/>
          <w:sz w:val="32"/>
          <w:szCs w:val="32"/>
        </w:rPr>
        <w:fldChar w:fldCharType="separate"/>
      </w:r>
      <w:r>
        <w:rPr>
          <w:rFonts w:ascii="仿宋_GB2312" w:eastAsia="仿宋_GB2312" w:hint="eastAsia"/>
          <w:sz w:val="32"/>
          <w:szCs w:val="32"/>
        </w:rPr>
        <w:t>委托合同</w:t>
      </w:r>
      <w:r>
        <w:rPr>
          <w:rFonts w:ascii="仿宋_GB2312" w:eastAsia="仿宋_GB2312" w:hint="eastAsia"/>
          <w:sz w:val="32"/>
          <w:szCs w:val="32"/>
        </w:rPr>
        <w:fldChar w:fldCharType="end"/>
      </w:r>
      <w:r>
        <w:rPr>
          <w:rFonts w:ascii="仿宋_GB2312" w:eastAsia="仿宋_GB2312" w:hint="eastAsia"/>
          <w:sz w:val="32"/>
          <w:szCs w:val="32"/>
        </w:rPr>
        <w:t>（适用委托机构代理）；</w:t>
      </w:r>
    </w:p>
    <w:p>
      <w:pPr>
        <w:spacing w:line="360" w:lineRule="auto"/>
        <w:ind w:firstLineChars="225" w:firstLine="720"/>
        <w:rPr>
          <w:rFonts w:ascii="仿宋_GB2312" w:eastAsia="仿宋_GB2312"/>
          <w:sz w:val="32"/>
          <w:szCs w:val="32"/>
        </w:rPr>
      </w:pPr>
      <w:r>
        <w:rPr>
          <w:rFonts w:ascii="仿宋_GB2312" w:eastAsia="仿宋_GB2312" w:hint="eastAsia"/>
          <w:sz w:val="32"/>
          <w:szCs w:val="32"/>
        </w:rPr>
        <w:t>（五）法律、法规规定的其他材料。</w:t>
      </w:r>
    </w:p>
    <w:p>
      <w:pPr>
        <w:numPr>
          <w:ilvl w:val="0"/>
          <w:numId w:val="1"/>
        </w:numPr>
        <w:spacing w:line="360" w:lineRule="auto"/>
        <w:ind w:left="0" w:firstLineChars="200" w:firstLine="640"/>
        <w:rPr>
          <w:rFonts w:ascii="仿宋_GB2312" w:eastAsia="仿宋_GB2312"/>
          <w:sz w:val="32"/>
          <w:szCs w:val="32"/>
        </w:rPr>
      </w:pPr>
      <w:r>
        <w:rPr>
          <w:rFonts w:ascii="仿宋_GB2312" w:eastAsia="仿宋_GB2312" w:hint="eastAsia"/>
          <w:sz w:val="32"/>
          <w:szCs w:val="32"/>
        </w:rPr>
        <w:t xml:space="preserve">  业主组织需要通过招投标平台发布招标公告的，应当向区物业管理行政主管部门提供下列材料：</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（一）申请表（示范文本）；</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（二）业主大会关于选聘物业服务企业的决议、授权业主委员会作为招标人代表的决议。物业管理委员会作为招标人代表的，提供业主共同决定；</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（三）招标公告和招标文件；</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（四）代理招标</w:t>
      </w:r>
      <w:r>
        <w:rPr>
          <w:rFonts w:ascii="仿宋_GB2312" w:eastAsia="仿宋_GB2312" w:hint="eastAsia"/>
          <w:sz w:val="32"/>
          <w:szCs w:val="32"/>
        </w:rPr>
        <w:fldChar w:fldCharType="begin"/>
      </w:r>
      <w:r>
        <w:instrText>HYPERLINK "http://www.lawtime.cn/info/hetong/htfanben/weituo/"</w:instrText>
      </w:r>
      <w:r>
        <w:rPr>
          <w:rFonts w:ascii="仿宋_GB2312" w:eastAsia="仿宋_GB2312" w:hint="eastAsia"/>
          <w:sz w:val="32"/>
          <w:szCs w:val="32"/>
        </w:rPr>
        <w:fldChar w:fldCharType="separate"/>
      </w:r>
      <w:r>
        <w:rPr>
          <w:rFonts w:ascii="仿宋_GB2312" w:eastAsia="仿宋_GB2312" w:hint="eastAsia"/>
          <w:sz w:val="32"/>
          <w:szCs w:val="32"/>
        </w:rPr>
        <w:t>委托合同</w:t>
      </w:r>
      <w:r>
        <w:rPr>
          <w:rFonts w:ascii="仿宋_GB2312" w:eastAsia="仿宋_GB2312" w:hint="eastAsia"/>
          <w:sz w:val="32"/>
          <w:szCs w:val="32"/>
        </w:rPr>
        <w:fldChar w:fldCharType="end"/>
      </w:r>
      <w:r>
        <w:rPr>
          <w:rFonts w:ascii="仿宋_GB2312" w:eastAsia="仿宋_GB2312" w:hint="eastAsia"/>
          <w:sz w:val="32"/>
          <w:szCs w:val="32"/>
        </w:rPr>
        <w:t>（适用委托机构代理）；</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（五）法律、法规和规章规定的其他材料。</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鼓励按规定推行证明事项告知承诺制度。建设单位书面承诺已经符合告知的相关要求并愿意承担不实承诺的法律责任，物业管理行政主管部门不再索要有关证明并依据书面承诺办理备案。</w:t>
      </w:r>
    </w:p>
    <w:p>
      <w:pPr>
        <w:numPr>
          <w:ilvl w:val="0"/>
          <w:numId w:val="1"/>
        </w:numPr>
        <w:spacing w:line="360" w:lineRule="auto"/>
        <w:ind w:left="0" w:firstLineChars="200" w:firstLine="640"/>
        <w:rPr>
          <w:rFonts w:ascii="仿宋_GB2312" w:eastAsia="仿宋_GB2312"/>
          <w:sz w:val="32"/>
          <w:szCs w:val="32"/>
        </w:rPr>
      </w:pPr>
      <w:r>
        <w:rPr>
          <w:rFonts w:ascii="仿宋_GB2312" w:eastAsia="仿宋_GB2312" w:hint="eastAsia"/>
          <w:sz w:val="32"/>
          <w:szCs w:val="32"/>
        </w:rPr>
        <w:t xml:space="preserve">  前期物业管理招投标或者业主大会通过招投标平台选聘物业服务企业的，应当遵循以下流程：</w:t>
      </w:r>
    </w:p>
    <w:p>
      <w:pPr>
        <w:spacing w:line="360" w:lineRule="auto"/>
        <w:ind w:firstLine="640"/>
        <w:rPr>
          <w:rFonts w:ascii="仿宋_GB2312" w:eastAsia="仿宋_GB2312"/>
          <w:sz w:val="32"/>
          <w:szCs w:val="32"/>
        </w:rPr>
      </w:pPr>
      <w:r>
        <w:rPr>
          <w:rFonts w:ascii="仿宋_GB2312" w:eastAsia="仿宋_GB2312" w:hint="eastAsia"/>
          <w:sz w:val="32"/>
          <w:szCs w:val="32"/>
        </w:rPr>
        <w:t>（一）发布招标公告。招标人采取公开招标方式的应当在公共媒介上发布招标公告。招标人采取邀请招标方式的，应当向</w:t>
      </w:r>
      <w:r>
        <w:rPr>
          <w:rFonts w:ascii="仿宋_GB2312" w:eastAsia="仿宋_GB2312"/>
          <w:sz w:val="32"/>
          <w:szCs w:val="32"/>
        </w:rPr>
        <w:t>3</w:t>
      </w:r>
      <w:r>
        <w:rPr>
          <w:rFonts w:ascii="仿宋_GB2312" w:eastAsia="仿宋_GB2312" w:hint="eastAsia"/>
          <w:sz w:val="32"/>
          <w:szCs w:val="32"/>
        </w:rPr>
        <w:t>个以上物业服务企业发出投标邀请书。</w:t>
      </w:r>
    </w:p>
    <w:p>
      <w:pPr>
        <w:spacing w:line="360" w:lineRule="auto"/>
        <w:ind w:firstLine="640"/>
        <w:rPr>
          <w:rFonts w:ascii="仿宋_GB2312" w:eastAsia="仿宋_GB2312"/>
          <w:sz w:val="32"/>
          <w:szCs w:val="32"/>
        </w:rPr>
      </w:pPr>
      <w:r>
        <w:rPr>
          <w:rFonts w:ascii="仿宋_GB2312" w:eastAsia="仿宋_GB2312" w:hint="eastAsia"/>
          <w:sz w:val="32"/>
          <w:szCs w:val="32"/>
        </w:rPr>
        <w:t>（二）投标报名。投标人应按照招标文件的内容和要求编制投标文件，并在招标文件要求提交投标文件的截止时间前，将投标文件密封送至投标地点。</w:t>
      </w:r>
    </w:p>
    <w:p>
      <w:pPr>
        <w:spacing w:line="360" w:lineRule="auto"/>
        <w:ind w:firstLine="640"/>
        <w:rPr>
          <w:rFonts w:ascii="仿宋_GB2312" w:eastAsia="仿宋_GB2312"/>
          <w:sz w:val="32"/>
          <w:szCs w:val="32"/>
        </w:rPr>
      </w:pPr>
      <w:r>
        <w:rPr>
          <w:rFonts w:ascii="仿宋_GB2312" w:eastAsia="仿宋_GB2312" w:hint="eastAsia"/>
          <w:sz w:val="32"/>
          <w:szCs w:val="32"/>
        </w:rPr>
        <w:t>（三）组织开标。由招标人或招投标活动组织人在预先确定的地点主持开标，邀请所有投标人参加。开标过程应当由招标人记录，并由投标人代表确认后存档备查。</w:t>
      </w:r>
    </w:p>
    <w:p>
      <w:pPr>
        <w:spacing w:line="360" w:lineRule="auto"/>
        <w:ind w:firstLine="640"/>
        <w:rPr>
          <w:rFonts w:ascii="仿宋_GB2312" w:eastAsia="仿宋_GB2312"/>
          <w:sz w:val="32"/>
          <w:szCs w:val="32"/>
        </w:rPr>
      </w:pPr>
      <w:r>
        <w:rPr>
          <w:rFonts w:ascii="仿宋_GB2312" w:eastAsia="仿宋_GB2312" w:hint="eastAsia"/>
          <w:sz w:val="32"/>
          <w:szCs w:val="32"/>
        </w:rPr>
        <w:t>（四）组织评标。评标委员会由物业管理及相关专业的专家和招标人代表组成。评标委员会应当在保密的情况下，按照招标文件确定的评标标准和方法开展评标，推荐不超过</w:t>
      </w:r>
      <w:r>
        <w:rPr>
          <w:rFonts w:ascii="仿宋_GB2312" w:eastAsia="仿宋_GB2312"/>
          <w:sz w:val="32"/>
          <w:szCs w:val="32"/>
        </w:rPr>
        <w:t>3</w:t>
      </w:r>
      <w:r>
        <w:rPr>
          <w:rFonts w:ascii="仿宋_GB2312" w:eastAsia="仿宋_GB2312" w:hint="eastAsia"/>
          <w:sz w:val="32"/>
          <w:szCs w:val="32"/>
        </w:rPr>
        <w:t>名有排序的合格的中标候选人。</w:t>
      </w:r>
    </w:p>
    <w:p>
      <w:pPr>
        <w:spacing w:line="360" w:lineRule="auto"/>
        <w:ind w:firstLine="640"/>
        <w:rPr>
          <w:rFonts w:ascii="仿宋_GB2312" w:eastAsia="仿宋_GB2312"/>
          <w:sz w:val="32"/>
          <w:szCs w:val="32"/>
        </w:rPr>
      </w:pPr>
      <w:r>
        <w:rPr>
          <w:rFonts w:ascii="仿宋_GB2312" w:eastAsia="仿宋_GB2312" w:hint="eastAsia"/>
          <w:sz w:val="32"/>
          <w:szCs w:val="32"/>
        </w:rPr>
        <w:t>（五）确定中标人。招标人应当依法按照中标候选人的排序确定中标人。</w:t>
      </w:r>
    </w:p>
    <w:p>
      <w:pPr>
        <w:numPr>
          <w:ilvl w:val="0"/>
          <w:numId w:val="1"/>
        </w:numPr>
        <w:spacing w:line="360" w:lineRule="auto"/>
        <w:ind w:left="0" w:firstLine="720"/>
        <w:rPr>
          <w:rFonts w:ascii="仿宋_GB2312" w:eastAsia="仿宋_GB2312"/>
          <w:sz w:val="32"/>
          <w:szCs w:val="32"/>
        </w:rPr>
      </w:pPr>
      <w:r>
        <w:rPr>
          <w:rFonts w:ascii="仿宋_GB2312" w:eastAsia="仿宋_GB2312" w:hint="eastAsia"/>
          <w:sz w:val="32"/>
          <w:szCs w:val="32"/>
        </w:rPr>
        <w:t xml:space="preserve"> 建设单位应当自确定中标人后三十日内，向各区、江北新区物业管理行政主管部门办理备案手续，提交下列资料：</w:t>
      </w:r>
    </w:p>
    <w:p>
      <w:pPr>
        <w:numPr>
          <w:ilvl w:val="0"/>
          <w:numId w:val="2"/>
        </w:numPr>
        <w:spacing w:line="360" w:lineRule="auto"/>
        <w:ind w:left="0" w:firstLineChars="225" w:firstLine="720"/>
        <w:rPr>
          <w:rFonts w:ascii="仿宋_GB2312" w:eastAsia="仿宋_GB2312"/>
          <w:sz w:val="32"/>
          <w:szCs w:val="32"/>
        </w:rPr>
      </w:pPr>
      <w:r>
        <w:rPr>
          <w:rFonts w:ascii="仿宋_GB2312" w:eastAsia="仿宋_GB2312" w:hint="eastAsia"/>
          <w:sz w:val="32"/>
          <w:szCs w:val="32"/>
        </w:rPr>
        <w:t>开标评标过程说明，委托代理招标的，还应提供招标代理委托合同；</w:t>
      </w:r>
    </w:p>
    <w:p>
      <w:pPr>
        <w:numPr>
          <w:ilvl w:val="0"/>
          <w:numId w:val="2"/>
        </w:numPr>
        <w:spacing w:line="360" w:lineRule="auto"/>
        <w:ind w:left="0" w:firstLineChars="225" w:firstLine="720"/>
        <w:rPr>
          <w:rFonts w:ascii="仿宋_GB2312" w:eastAsia="仿宋_GB2312"/>
          <w:sz w:val="32"/>
          <w:szCs w:val="32"/>
        </w:rPr>
      </w:pPr>
      <w:r>
        <w:rPr>
          <w:rFonts w:ascii="仿宋_GB2312" w:eastAsia="仿宋_GB2312" w:hint="eastAsia"/>
          <w:sz w:val="32"/>
          <w:szCs w:val="32"/>
        </w:rPr>
        <w:t>确定中标人的方式及理由说明；</w:t>
      </w:r>
    </w:p>
    <w:p>
      <w:pPr>
        <w:numPr>
          <w:ilvl w:val="0"/>
          <w:numId w:val="2"/>
        </w:numPr>
        <w:spacing w:line="360" w:lineRule="auto"/>
        <w:ind w:left="0" w:firstLineChars="225" w:firstLine="720"/>
        <w:rPr>
          <w:rFonts w:ascii="仿宋_GB2312" w:eastAsia="仿宋_GB2312"/>
          <w:sz w:val="32"/>
          <w:szCs w:val="32"/>
        </w:rPr>
      </w:pPr>
      <w:r>
        <w:rPr>
          <w:rFonts w:ascii="仿宋_GB2312" w:eastAsia="仿宋_GB2312" w:hint="eastAsia"/>
          <w:sz w:val="32"/>
          <w:szCs w:val="32"/>
        </w:rPr>
        <w:t>评标委员会的评标报告；</w:t>
      </w:r>
    </w:p>
    <w:p>
      <w:pPr>
        <w:numPr>
          <w:ilvl w:val="0"/>
          <w:numId w:val="2"/>
        </w:numPr>
        <w:spacing w:line="360" w:lineRule="auto"/>
        <w:ind w:left="0" w:firstLineChars="225" w:firstLine="720"/>
        <w:rPr>
          <w:rFonts w:ascii="仿宋_GB2312" w:eastAsia="仿宋_GB2312"/>
          <w:sz w:val="32"/>
          <w:szCs w:val="32"/>
        </w:rPr>
      </w:pPr>
      <w:r>
        <w:rPr>
          <w:rFonts w:ascii="仿宋_GB2312" w:eastAsia="仿宋_GB2312" w:hint="eastAsia"/>
          <w:sz w:val="32"/>
          <w:szCs w:val="32"/>
        </w:rPr>
        <w:t>中标人的投标文件；</w:t>
      </w:r>
    </w:p>
    <w:p>
      <w:pPr>
        <w:numPr>
          <w:ilvl w:val="0"/>
          <w:numId w:val="2"/>
        </w:numPr>
        <w:spacing w:line="360" w:lineRule="auto"/>
        <w:ind w:left="0" w:firstLineChars="225" w:firstLine="720"/>
        <w:rPr>
          <w:rFonts w:ascii="仿宋_GB2312" w:eastAsia="仿宋_GB2312"/>
          <w:sz w:val="32"/>
          <w:szCs w:val="32"/>
        </w:rPr>
      </w:pPr>
      <w:r>
        <w:rPr>
          <w:rFonts w:ascii="仿宋_GB2312" w:eastAsia="仿宋_GB2312" w:hint="eastAsia"/>
          <w:sz w:val="32"/>
          <w:szCs w:val="32"/>
        </w:rPr>
        <w:t>前期物业服务合同（示范文本）。</w:t>
      </w:r>
    </w:p>
    <w:p>
      <w:pPr>
        <w:spacing w:line="360" w:lineRule="auto"/>
        <w:ind w:firstLineChars="225" w:firstLine="720"/>
        <w:rPr>
          <w:rFonts w:ascii="仿宋_GB2312" w:eastAsia="仿宋_GB2312"/>
          <w:sz w:val="32"/>
          <w:szCs w:val="32"/>
        </w:rPr>
      </w:pPr>
      <w:r>
        <w:rPr>
          <w:rFonts w:ascii="仿宋_GB2312" w:eastAsia="仿宋_GB2312" w:hint="eastAsia"/>
          <w:sz w:val="32"/>
          <w:szCs w:val="32"/>
        </w:rPr>
        <w:t>物业管理行政主管部门应当在收齐上述资料之日起三个工作日内办理中标备案手续，在物业服务合同上加盖备案章，出具中标备案表。房屋交易管理部门在办理建设单位房屋预（现）售手续时，应当依法核查经过备案的前期物业服务合同。</w:t>
      </w:r>
    </w:p>
    <w:p>
      <w:pPr>
        <w:numPr>
          <w:ilvl w:val="0"/>
          <w:numId w:val="1"/>
        </w:numPr>
        <w:spacing w:line="360" w:lineRule="auto"/>
        <w:ind w:left="0" w:firstLineChars="200" w:firstLine="640"/>
        <w:rPr>
          <w:rFonts w:ascii="仿宋_GB2312" w:eastAsia="仿宋_GB2312"/>
          <w:sz w:val="32"/>
          <w:szCs w:val="32"/>
        </w:rPr>
      </w:pPr>
      <w:r>
        <w:rPr>
          <w:rFonts w:ascii="仿宋_GB2312" w:eastAsia="仿宋_GB2312" w:hint="eastAsia"/>
          <w:sz w:val="32"/>
          <w:szCs w:val="32"/>
        </w:rPr>
        <w:t xml:space="preserve">  建设单位应当在房屋销售方案中载明有关前期物业管理招投标的事项，并按照以下规定完成前期物业管理招标投标工作：</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（一）预售物业项目应当在取得商品房预售许可证之前完成；</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（二）新建现售物业项目应当在现售前三十日完成；</w:t>
      </w:r>
    </w:p>
    <w:p>
      <w:pPr>
        <w:spacing w:line="360" w:lineRule="auto"/>
        <w:ind w:firstLineChars="200" w:firstLine="640"/>
        <w:rPr>
          <w:rFonts w:ascii="仿宋_GB2312" w:eastAsia="仿宋_GB2312"/>
          <w:b/>
          <w:sz w:val="32"/>
          <w:szCs w:val="32"/>
        </w:rPr>
      </w:pPr>
      <w:r>
        <w:rPr>
          <w:rFonts w:ascii="仿宋_GB2312" w:eastAsia="仿宋_GB2312" w:hint="eastAsia"/>
          <w:sz w:val="32"/>
          <w:szCs w:val="32"/>
        </w:rPr>
        <w:t>（三）非出售的新建物业项目应当在交付使用前九十日完成。</w:t>
      </w:r>
    </w:p>
    <w:p>
      <w:pPr>
        <w:numPr>
          <w:ilvl w:val="0"/>
          <w:numId w:val="1"/>
        </w:numPr>
        <w:spacing w:line="360" w:lineRule="auto"/>
        <w:ind w:left="0" w:firstLineChars="200" w:firstLine="640"/>
        <w:rPr>
          <w:rFonts w:ascii="仿宋_GB2312" w:eastAsia="仿宋_GB2312"/>
          <w:sz w:val="32"/>
          <w:szCs w:val="32"/>
        </w:rPr>
      </w:pPr>
      <w:r>
        <w:rPr>
          <w:rFonts w:ascii="仿宋_GB2312" w:eastAsia="仿宋_GB2312" w:hint="eastAsia"/>
          <w:sz w:val="32"/>
          <w:szCs w:val="32"/>
        </w:rPr>
        <w:t xml:space="preserve">  业主大会成立前，前期物业服务合同已依法终止或解除，建设单位需要重新选聘前期物业服务企业的，应当遵循下列程序：</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（一）建设单位制定选聘方案，并在物业管理区域内显著位置公示十五日，同时书面告知街道办事处（镇人民政府）、社区居（村）民委员会和区物业管理行政主管部门；</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二）选聘方案征得住宅物业管理项目已售部分专有部分占比三分之二以上的业主且人数占比三分之二以上的业主参与表决，同时应当经参与表决专有部分面积过半数的业主且参与表决人数过半数的业主同意。征求业主意见结果应当在物业管理区域内显著位置公示，公示时间不得少于七日；</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（三）建设单位按照选聘方案重新选聘物业服务企业。</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建设单位制定的选聘方案中，应当明确载明物业服务等级和收费标准。征求业主意见应当在街道办事处（镇人民政府）、社区居（村）民委员会的监督、指导下进行。</w:t>
      </w:r>
    </w:p>
    <w:p>
      <w:pPr>
        <w:numPr>
          <w:ilvl w:val="0"/>
          <w:numId w:val="1"/>
        </w:numPr>
        <w:spacing w:line="360" w:lineRule="auto"/>
        <w:ind w:left="0" w:firstLineChars="200" w:firstLine="640"/>
        <w:rPr>
          <w:rFonts w:ascii="仿宋_GB2312" w:eastAsia="仿宋_GB2312"/>
          <w:sz w:val="32"/>
          <w:szCs w:val="32"/>
        </w:rPr>
      </w:pPr>
      <w:r>
        <w:rPr>
          <w:rFonts w:ascii="仿宋_GB2312" w:eastAsia="仿宋_GB2312" w:hint="eastAsia"/>
          <w:sz w:val="32"/>
          <w:szCs w:val="32"/>
        </w:rPr>
        <w:t xml:space="preserve">  本办法自</w:t>
      </w:r>
      <w:r>
        <w:rPr>
          <w:rFonts w:ascii="仿宋_GB2312" w:eastAsia="仿宋_GB2312"/>
          <w:sz w:val="32"/>
          <w:szCs w:val="32"/>
        </w:rPr>
        <w:t>201</w:t>
      </w:r>
      <w:r>
        <w:rPr>
          <w:rFonts w:ascii="仿宋_GB2312" w:eastAsia="仿宋_GB2312" w:hint="eastAsia"/>
          <w:sz w:val="32"/>
          <w:szCs w:val="32"/>
        </w:rPr>
        <w:t>7年3月1日起施行，有效期至202</w:t>
      </w:r>
      <w:r>
        <w:rPr>
          <w:rFonts w:ascii="仿宋_GB2312" w:eastAsia="仿宋_GB2312"/>
          <w:sz w:val="32"/>
          <w:szCs w:val="32"/>
        </w:rPr>
        <w:t>8</w:t>
      </w:r>
      <w:r>
        <w:rPr>
          <w:rFonts w:ascii="仿宋_GB2312" w:eastAsia="仿宋_GB2312" w:hint="eastAsia"/>
          <w:sz w:val="32"/>
          <w:szCs w:val="32"/>
        </w:rPr>
        <w:t>年</w:t>
      </w:r>
      <w:r>
        <w:rPr>
          <w:rFonts w:ascii="仿宋_GB2312" w:eastAsia="仿宋_GB2312"/>
          <w:sz w:val="32"/>
          <w:szCs w:val="32"/>
        </w:rPr>
        <w:t>8</w:t>
      </w:r>
      <w:r>
        <w:rPr>
          <w:rFonts w:ascii="仿宋_GB2312" w:eastAsia="仿宋_GB2312" w:hint="eastAsia"/>
          <w:sz w:val="32"/>
          <w:szCs w:val="32"/>
        </w:rPr>
        <w:t>月</w:t>
      </w:r>
      <w:r>
        <w:rPr>
          <w:rFonts w:ascii="仿宋_GB2312" w:eastAsia="仿宋_GB2312"/>
          <w:sz w:val="32"/>
          <w:szCs w:val="32"/>
        </w:rPr>
        <w:t>24</w:t>
      </w:r>
      <w:r>
        <w:rPr>
          <w:rFonts w:ascii="仿宋_GB2312" w:eastAsia="仿宋_GB2312" w:hint="eastAsia"/>
          <w:sz w:val="32"/>
          <w:szCs w:val="32"/>
        </w:rPr>
        <w:t>日止。原南京市房产管理局《关于印发〈前期物业管理招标投标管理暂行办法〉的实施意见》（宁房物〔2003〕216号）、《关于〈前期物业管理招标投标管理暂行办法的实施意见〉的补充意见》（宁房物〔2008〕136号）同时废止。</w:t>
      </w:r>
    </w:p>
    <w:p>
      <w:pPr>
        <w:spacing w:line="360" w:lineRule="auto"/>
        <w:rPr>
          <w:rFonts w:ascii="仿宋_GB2312" w:eastAsia="仿宋_GB2312"/>
          <w:sz w:val="32"/>
          <w:szCs w:val="32"/>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widowControl/>
        <w:jc w:val="left"/>
        <w:rPr>
          <w:rFonts w:ascii="黑体" w:eastAsia="黑体" w:hAnsi="黑体"/>
        </w:rPr>
      </w:pPr>
      <w:r>
        <w:rPr>
          <w:rFonts w:ascii="黑体" w:eastAsia="黑体" w:hAnsi="黑体"/>
        </w:rPr>
        <w:br w:type="page"/>
      </w:r>
    </w:p>
    <w:p>
      <w:pPr>
        <w:rPr>
          <w:rFonts w:ascii="黑体" w:eastAsia="黑体" w:hAnsi="黑体"/>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方正小标宋简体" w:eastAsia="方正小标宋简体"/>
          <w:spacing w:val="-20"/>
          <w:sz w:val="44"/>
          <w:szCs w:val="44"/>
        </w:rPr>
      </w:pPr>
      <w:r>
        <w:rPr>
          <w:rFonts w:ascii="方正小标宋简体" w:eastAsia="方正小标宋简体" w:hint="eastAsia"/>
          <w:spacing w:val="-20"/>
          <w:sz w:val="44"/>
          <w:szCs w:val="44"/>
        </w:rPr>
        <w:t>市房产局关于印发《南京市住宅区首次业主大会</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方正小标宋简体" w:eastAsia="方正小标宋简体"/>
          <w:spacing w:val="-20"/>
          <w:sz w:val="44"/>
          <w:szCs w:val="44"/>
        </w:rPr>
      </w:pPr>
      <w:r>
        <w:rPr>
          <w:rFonts w:ascii="方正小标宋简体" w:eastAsia="方正小标宋简体" w:hint="eastAsia"/>
          <w:spacing w:val="-20"/>
          <w:sz w:val="44"/>
          <w:szCs w:val="44"/>
        </w:rPr>
        <w:t>会议筹备经费管理办法》的通知</w:t>
      </w:r>
    </w:p>
    <w:p>
      <w:pPr>
        <w:jc w:val="center"/>
        <w:rPr>
          <w:rFonts w:ascii="仿宋_GB2312" w:eastAsia="仿宋_GB2312" w:cs="仿宋_GB2312" w:hAnsi="仿宋_GB2312" w:hint="eastAsia"/>
          <w:sz w:val="32"/>
          <w:szCs w:val="32"/>
        </w:rPr>
      </w:pPr>
      <w:r>
        <w:rPr>
          <w:rFonts w:ascii="仿宋_GB2312" w:eastAsia="仿宋_GB2312" w:cs="仿宋_GB2312" w:hAnsi="仿宋_GB2312" w:hint="eastAsia"/>
          <w:sz w:val="32"/>
          <w:szCs w:val="32"/>
        </w:rPr>
        <w:t>宁房规字〔2016〕3号</w:t>
      </w:r>
    </w:p>
    <w:p>
      <w:pPr>
        <w:spacing w:line="360" w:lineRule="auto"/>
        <w:rPr>
          <w:rFonts w:ascii="Times New Roman" w:eastAsia="仿宋_GB2312" w:hAnsi="Times New Roman"/>
          <w:sz w:val="32"/>
          <w:szCs w:val="32"/>
        </w:rPr>
      </w:pPr>
    </w:p>
    <w:p>
      <w:pPr>
        <w:spacing w:line="360" w:lineRule="auto"/>
        <w:rPr>
          <w:rFonts w:ascii="Times New Roman" w:eastAsia="仿宋_GB2312" w:hAnsi="Times New Roman"/>
          <w:sz w:val="32"/>
          <w:szCs w:val="32"/>
        </w:rPr>
      </w:pPr>
      <w:r>
        <w:rPr>
          <w:rFonts w:ascii="Times New Roman" w:eastAsia="仿宋_GB2312" w:hAnsi="Times New Roman"/>
          <w:sz w:val="32"/>
          <w:szCs w:val="32"/>
        </w:rPr>
        <w:t>各有关单位：</w:t>
      </w:r>
    </w:p>
    <w:p>
      <w:pPr>
        <w:spacing w:line="360" w:lineRule="auto"/>
        <w:ind w:firstLineChars="200" w:firstLine="640"/>
        <w:rPr>
          <w:rFonts w:ascii="Times New Roman" w:eastAsia="仿宋_GB2312" w:hAnsi="Times New Roman"/>
          <w:sz w:val="32"/>
          <w:szCs w:val="32"/>
        </w:rPr>
      </w:pPr>
      <w:r>
        <w:rPr>
          <w:rFonts w:ascii="Times New Roman" w:eastAsia="仿宋_GB2312" w:hAnsi="Times New Roman"/>
          <w:sz w:val="32"/>
          <w:szCs w:val="32"/>
        </w:rPr>
        <w:t>现将《南京市住宅区首次业主大会会议筹备经费管理办法》印发给你们，请认真贯彻执行。</w:t>
      </w:r>
    </w:p>
    <w:p>
      <w:pPr>
        <w:spacing w:line="360" w:lineRule="auto"/>
        <w:ind w:firstLineChars="200" w:firstLine="640"/>
        <w:rPr>
          <w:rFonts w:ascii="Times New Roman" w:eastAsia="仿宋_GB2312" w:hAnsi="Times New Roman"/>
          <w:sz w:val="32"/>
          <w:szCs w:val="32"/>
        </w:rPr>
      </w:pPr>
    </w:p>
    <w:p>
      <w:pPr>
        <w:spacing w:line="360" w:lineRule="auto"/>
        <w:ind w:firstLineChars="200" w:firstLine="640"/>
        <w:rPr>
          <w:rFonts w:ascii="Times New Roman" w:eastAsia="仿宋_GB2312" w:hAnsi="Times New Roman"/>
          <w:sz w:val="32"/>
          <w:szCs w:val="32"/>
        </w:rPr>
      </w:pPr>
    </w:p>
    <w:p>
      <w:pPr>
        <w:spacing w:line="360" w:lineRule="auto"/>
        <w:ind w:firstLineChars="200" w:firstLine="640"/>
        <w:rPr>
          <w:rFonts w:ascii="Times New Roman" w:eastAsia="仿宋_GB2312" w:hAnsi="Times New Roman"/>
          <w:sz w:val="32"/>
          <w:szCs w:val="32"/>
        </w:rPr>
      </w:pPr>
    </w:p>
    <w:p>
      <w:pPr>
        <w:spacing w:line="520" w:lineRule="exact"/>
        <w:ind w:right="-74"/>
        <w:rPr>
          <w:rFonts w:ascii="仿宋_GB2312" w:eastAsia="仿宋_GB2312" w:cs="仿宋_GB2312" w:hAnsi="仿宋_GB2312" w:hint="eastAsia"/>
          <w:sz w:val="32"/>
          <w:szCs w:val="32"/>
        </w:rPr>
      </w:pPr>
      <w:r>
        <w:rPr>
          <w:rFonts w:ascii="Times New Roman" w:eastAsia="仿宋_GB2312" w:hAnsi="Times New Roman"/>
          <w:sz w:val="32"/>
          <w:szCs w:val="32"/>
        </w:rPr>
        <w:t>　　　　　　　　　　　　　</w:t>
      </w:r>
      <w:r>
        <w:rPr>
          <w:rFonts w:ascii="仿宋_GB2312" w:eastAsia="仿宋_GB2312" w:cs="仿宋_GB2312" w:hAnsi="仿宋_GB2312" w:hint="eastAsia"/>
          <w:sz w:val="32"/>
          <w:szCs w:val="32"/>
        </w:rPr>
        <w:t>南京市住房保障和房产局</w:t>
      </w:r>
    </w:p>
    <w:p>
      <w:pPr>
        <w:spacing w:line="520" w:lineRule="exact"/>
        <w:ind w:firstLineChars="1631" w:firstLine="5219"/>
        <w:rPr>
          <w:rFonts w:ascii="仿宋_GB2312" w:eastAsia="仿宋_GB2312" w:cs="仿宋_GB2312" w:hAnsi="仿宋_GB2312" w:hint="eastAsia"/>
          <w:sz w:val="32"/>
          <w:szCs w:val="32"/>
        </w:rPr>
      </w:pPr>
      <w:r>
        <w:rPr>
          <w:rFonts w:ascii="仿宋_GB2312" w:eastAsia="仿宋_GB2312" w:cs="仿宋_GB2312" w:hAnsi="仿宋_GB2312" w:hint="eastAsia"/>
          <w:sz w:val="32"/>
          <w:szCs w:val="32"/>
        </w:rPr>
        <w:t>2016年12月29日</w:t>
      </w:r>
    </w:p>
    <w:p>
      <w:pPr>
        <w:jc w:val="center"/>
        <w:rPr>
          <w:rFonts w:ascii="仿宋_GB2312" w:eastAsia="仿宋_GB2312" w:cs="仿宋_GB2312" w:hAnsi="仿宋_GB2312" w:hint="eastAsia"/>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widowControl/>
        <w:jc w:val="left"/>
        <w:rPr>
          <w:rFonts w:ascii="黑体" w:eastAsia="黑体" w:hAnsi="黑体"/>
        </w:rPr>
      </w:pPr>
      <w:r>
        <w:rPr>
          <w:rFonts w:ascii="黑体" w:eastAsia="黑体" w:hAnsi="黑体"/>
        </w:rPr>
        <w:br w:type="page"/>
      </w:r>
    </w:p>
    <w:p>
      <w:pPr>
        <w:spacing w:line="560" w:lineRule="exact"/>
        <w:jc w:val="center"/>
        <w:rPr>
          <w:rFonts w:ascii="方正小标宋简体" w:eastAsia="方正小标宋简体"/>
          <w:sz w:val="44"/>
          <w:szCs w:val="44"/>
        </w:rPr>
      </w:pPr>
      <w:r>
        <w:rPr>
          <w:rFonts w:ascii="方正小标宋简体" w:eastAsia="方正小标宋简体" w:hint="eastAsia"/>
          <w:sz w:val="44"/>
          <w:szCs w:val="44"/>
        </w:rPr>
        <w:t>南京市住宅区首次业主大会会议</w:t>
      </w:r>
    </w:p>
    <w:p>
      <w:pPr>
        <w:spacing w:line="560" w:lineRule="exact"/>
        <w:jc w:val="center"/>
        <w:rPr>
          <w:rFonts w:ascii="方正小标宋简体" w:eastAsia="方正小标宋简体"/>
          <w:sz w:val="44"/>
          <w:szCs w:val="44"/>
        </w:rPr>
      </w:pPr>
      <w:r>
        <w:rPr>
          <w:rFonts w:ascii="方正小标宋简体" w:eastAsia="方正小标宋简体" w:hint="eastAsia"/>
          <w:sz w:val="44"/>
          <w:szCs w:val="44"/>
        </w:rPr>
        <w:t>筹备经费管理办法</w:t>
      </w:r>
    </w:p>
    <w:p>
      <w:pPr>
        <w:spacing w:line="560" w:lineRule="exact"/>
        <w:jc w:val="center"/>
        <w:rPr>
          <w:rFonts w:ascii="方正小标宋简体" w:eastAsia="方正小标宋简体"/>
          <w:sz w:val="32"/>
          <w:szCs w:val="32"/>
        </w:rPr>
      </w:pPr>
    </w:p>
    <w:p>
      <w:pPr>
        <w:spacing w:line="640" w:lineRule="exact"/>
        <w:ind w:firstLineChars="200" w:firstLine="640"/>
        <w:rPr>
          <w:rFonts w:ascii="Times New Roman" w:eastAsia="仿宋_GB2312" w:hAnsi="Times New Roman"/>
          <w:sz w:val="32"/>
          <w:szCs w:val="32"/>
        </w:rPr>
      </w:pPr>
      <w:r>
        <w:rPr>
          <w:rFonts w:ascii="Times New Roman" w:eastAsia="黑体" w:hAnsi="Times New Roman"/>
          <w:b/>
          <w:sz w:val="32"/>
          <w:szCs w:val="32"/>
        </w:rPr>
        <w:t>第一条</w:t>
      </w:r>
      <w:r>
        <w:rPr>
          <w:rFonts w:ascii="Times New Roman" w:eastAsia="仿宋_GB2312" w:hAnsi="Times New Roman"/>
          <w:sz w:val="32"/>
          <w:szCs w:val="32"/>
        </w:rPr>
        <w:t>为了加强住宅区首次业主大会会议筹备经费（以下简称“首次筹备经费”）管理，维护业主的合法权益，根据《江苏省物业管理条例》、《南京市住宅物业管理条例》等法规规定，结合本市实际，制定本办法。</w:t>
      </w:r>
    </w:p>
    <w:p>
      <w:pPr>
        <w:spacing w:line="640" w:lineRule="exact"/>
        <w:ind w:firstLineChars="196" w:firstLine="627"/>
        <w:rPr>
          <w:rFonts w:ascii="Times New Roman" w:eastAsia="仿宋_GB2312" w:hAnsi="Times New Roman"/>
          <w:sz w:val="32"/>
          <w:szCs w:val="32"/>
        </w:rPr>
      </w:pPr>
      <w:r>
        <w:rPr>
          <w:rFonts w:ascii="Times New Roman" w:eastAsia="黑体" w:hAnsi="Times New Roman"/>
          <w:b/>
          <w:sz w:val="32"/>
          <w:szCs w:val="32"/>
        </w:rPr>
        <w:t>第二条</w:t>
      </w:r>
      <w:r>
        <w:rPr>
          <w:rFonts w:ascii="Times New Roman" w:eastAsia="仿宋_GB2312" w:hAnsi="Times New Roman"/>
          <w:sz w:val="32"/>
          <w:szCs w:val="32"/>
        </w:rPr>
        <w:t>本市行政区域内住宅小区首次筹备经费的缴存、使用和监督管理，适用本办法。</w:t>
      </w:r>
    </w:p>
    <w:p>
      <w:pPr>
        <w:spacing w:line="640" w:lineRule="exact"/>
        <w:ind w:firstLineChars="196" w:firstLine="627"/>
        <w:rPr>
          <w:rFonts w:ascii="Times New Roman" w:eastAsia="仿宋_GB2312" w:hAnsi="Times New Roman"/>
          <w:sz w:val="32"/>
          <w:szCs w:val="32"/>
        </w:rPr>
      </w:pPr>
      <w:r>
        <w:rPr>
          <w:rFonts w:ascii="Times New Roman" w:eastAsia="黑体" w:hAnsi="Times New Roman"/>
          <w:b/>
          <w:sz w:val="32"/>
          <w:szCs w:val="32"/>
        </w:rPr>
        <w:t>第三条</w:t>
      </w:r>
      <w:r>
        <w:rPr>
          <w:rFonts w:ascii="Times New Roman" w:eastAsia="仿宋_GB2312" w:hAnsi="Times New Roman"/>
          <w:sz w:val="32"/>
          <w:szCs w:val="32"/>
        </w:rPr>
        <w:t>市物业管理行政主管部门负责全市首次筹备经费的统一监督管理。</w:t>
      </w:r>
    </w:p>
    <w:p>
      <w:pPr>
        <w:spacing w:line="640" w:lineRule="exact"/>
        <w:ind w:firstLineChars="196" w:firstLine="627"/>
        <w:rPr>
          <w:rFonts w:ascii="Times New Roman" w:eastAsia="仿宋_GB2312" w:hAnsi="Times New Roman"/>
          <w:b/>
          <w:bCs/>
          <w:sz w:val="32"/>
          <w:szCs w:val="32"/>
        </w:rPr>
      </w:pPr>
      <w:r>
        <w:rPr>
          <w:rFonts w:ascii="Times New Roman" w:eastAsia="仿宋_GB2312" w:hAnsi="Times New Roman" w:hint="eastAsia"/>
          <w:sz w:val="32"/>
          <w:szCs w:val="32"/>
        </w:rPr>
        <w:t>各区、江北新区</w:t>
      </w:r>
      <w:r>
        <w:rPr>
          <w:rFonts w:ascii="Times New Roman" w:eastAsia="仿宋_GB2312" w:hAnsi="Times New Roman"/>
          <w:sz w:val="32"/>
          <w:szCs w:val="32"/>
        </w:rPr>
        <w:t>物业管理行政主管部门负责辖区内首次筹备经费管理工作的指导和监管。</w:t>
      </w:r>
    </w:p>
    <w:p>
      <w:pPr>
        <w:spacing w:line="640" w:lineRule="exact"/>
        <w:ind w:firstLineChars="196" w:firstLine="627"/>
        <w:rPr>
          <w:rFonts w:ascii="Times New Roman" w:eastAsia="仿宋_GB2312" w:hAnsi="Times New Roman"/>
          <w:sz w:val="32"/>
          <w:szCs w:val="32"/>
        </w:rPr>
      </w:pPr>
      <w:r>
        <w:rPr>
          <w:rFonts w:ascii="Times New Roman" w:eastAsia="仿宋_GB2312" w:hAnsi="Times New Roman"/>
          <w:sz w:val="32"/>
          <w:szCs w:val="32"/>
        </w:rPr>
        <w:t>各街道办事处（镇人民政府）负责监督建设单位缴纳首次筹备经费，负责辖区内住宅小区首次筹备经费的支取、使用、核销等日常监管工作，负责协调处理相关矛盾纠纷。</w:t>
      </w:r>
    </w:p>
    <w:p>
      <w:pPr>
        <w:spacing w:line="640" w:lineRule="exact"/>
        <w:ind w:firstLineChars="196" w:firstLine="627"/>
        <w:rPr>
          <w:rFonts w:ascii="Times New Roman" w:eastAsia="仿宋_GB2312" w:hAnsi="Times New Roman"/>
          <w:sz w:val="32"/>
          <w:szCs w:val="32"/>
        </w:rPr>
      </w:pPr>
      <w:r>
        <w:rPr>
          <w:rFonts w:ascii="Times New Roman" w:eastAsia="黑体" w:hAnsi="Times New Roman"/>
          <w:b/>
          <w:sz w:val="32"/>
          <w:szCs w:val="32"/>
        </w:rPr>
        <w:t>第四条</w:t>
      </w:r>
      <w:r>
        <w:rPr>
          <w:rFonts w:ascii="Times New Roman" w:eastAsia="仿宋_GB2312" w:hAnsi="Times New Roman"/>
          <w:bCs/>
          <w:sz w:val="32"/>
          <w:szCs w:val="32"/>
        </w:rPr>
        <w:t>首次</w:t>
      </w:r>
      <w:r>
        <w:rPr>
          <w:rFonts w:ascii="Times New Roman" w:eastAsia="仿宋_GB2312" w:hAnsi="Times New Roman"/>
          <w:sz w:val="32"/>
          <w:szCs w:val="32"/>
        </w:rPr>
        <w:t>筹备经费由建设单位依法承担。建设单位应当在办理房屋预（现）售手续之前，向街道办事处（镇人民政府）指定的专用账户缴存首次筹备经费。本办法发布前已办理房屋预（现）售手续的住宅小区，可以在首次业主大会筹备阶段补缴。</w:t>
      </w:r>
    </w:p>
    <w:p>
      <w:pPr>
        <w:spacing w:line="640" w:lineRule="exact"/>
        <w:ind w:firstLineChars="196" w:firstLine="627"/>
        <w:rPr>
          <w:rFonts w:ascii="Times New Roman" w:eastAsia="仿宋_GB2312" w:hAnsi="Times New Roman"/>
          <w:sz w:val="32"/>
          <w:szCs w:val="32"/>
        </w:rPr>
      </w:pPr>
      <w:r>
        <w:rPr>
          <w:rFonts w:ascii="Times New Roman" w:eastAsia="黑体" w:hAnsi="Times New Roman"/>
          <w:b/>
          <w:sz w:val="32"/>
          <w:szCs w:val="32"/>
        </w:rPr>
        <w:t>第五条</w:t>
      </w:r>
      <w:r>
        <w:rPr>
          <w:rFonts w:ascii="Times New Roman" w:eastAsia="仿宋_GB2312" w:hAnsi="Times New Roman"/>
          <w:sz w:val="32"/>
          <w:szCs w:val="32"/>
        </w:rPr>
        <w:t>街道办事处（镇人民政府）应当以物业管理区域为单位，设立首次筹备经费专用账户，做到专户储存，专款专用。</w:t>
      </w:r>
    </w:p>
    <w:p>
      <w:pPr>
        <w:spacing w:line="640" w:lineRule="exact"/>
        <w:ind w:firstLineChars="196" w:firstLine="627"/>
        <w:rPr>
          <w:rFonts w:ascii="Times New Roman" w:eastAsia="仿宋_GB2312" w:hAnsi="Times New Roman"/>
          <w:sz w:val="32"/>
          <w:szCs w:val="32"/>
        </w:rPr>
      </w:pPr>
      <w:r>
        <w:rPr>
          <w:rFonts w:ascii="Times New Roman" w:eastAsia="黑体" w:hAnsi="Times New Roman"/>
          <w:b/>
          <w:sz w:val="32"/>
          <w:szCs w:val="32"/>
        </w:rPr>
        <w:t>第六条</w:t>
      </w:r>
      <w:r>
        <w:rPr>
          <w:rFonts w:ascii="Times New Roman" w:eastAsia="仿宋_GB2312" w:hAnsi="Times New Roman"/>
          <w:sz w:val="32"/>
          <w:szCs w:val="32"/>
        </w:rPr>
        <w:t>建设单位应当按照</w:t>
      </w:r>
      <w:r>
        <w:rPr>
          <w:rFonts w:ascii="Times New Roman" w:eastAsia="仿宋_GB2312" w:hAnsi="Times New Roman"/>
          <w:bCs/>
          <w:sz w:val="32"/>
          <w:szCs w:val="32"/>
        </w:rPr>
        <w:t>物业管理区域规划核准总建筑面积</w:t>
      </w:r>
      <w:r>
        <w:rPr>
          <w:rFonts w:ascii="Times New Roman" w:eastAsia="仿宋_GB2312" w:hAnsi="Times New Roman"/>
          <w:sz w:val="32"/>
          <w:szCs w:val="32"/>
        </w:rPr>
        <w:t>（含地下建筑面积）每平方米0.3元的标准缴纳首次筹备经费，单个物业管理区域总费用最高不超过10万元，最低不少于1万元。</w:t>
      </w:r>
    </w:p>
    <w:p>
      <w:pPr>
        <w:spacing w:line="640" w:lineRule="exact"/>
        <w:ind w:firstLineChars="196" w:firstLine="627"/>
        <w:rPr>
          <w:rFonts w:ascii="Times New Roman" w:eastAsia="仿宋_GB2312" w:hAnsi="Times New Roman"/>
          <w:sz w:val="32"/>
          <w:szCs w:val="32"/>
        </w:rPr>
      </w:pPr>
      <w:r>
        <w:rPr>
          <w:rFonts w:ascii="Times New Roman" w:eastAsia="黑体" w:hAnsi="Times New Roman"/>
          <w:b/>
          <w:sz w:val="32"/>
          <w:szCs w:val="32"/>
        </w:rPr>
        <w:t>第七条</w:t>
      </w:r>
      <w:r>
        <w:rPr>
          <w:rFonts w:ascii="Times New Roman" w:eastAsia="仿宋_GB2312" w:hAnsi="Times New Roman" w:hint="eastAsia"/>
          <w:sz w:val="32"/>
          <w:szCs w:val="32"/>
        </w:rPr>
        <w:t>各区、江北新区</w:t>
      </w:r>
      <w:r>
        <w:rPr>
          <w:rFonts w:ascii="Times New Roman" w:eastAsia="仿宋_GB2312" w:hAnsi="Times New Roman"/>
          <w:sz w:val="32"/>
          <w:szCs w:val="32"/>
        </w:rPr>
        <w:t>物业管理行政主管部门在办理前期物业管理招投标备案手续时，</w:t>
      </w:r>
      <w:r>
        <w:rPr>
          <w:rFonts w:ascii="Times New Roman" w:eastAsia="仿宋_GB2312" w:hAnsi="Times New Roman" w:hint="eastAsia"/>
          <w:sz w:val="32"/>
          <w:szCs w:val="32"/>
        </w:rPr>
        <w:t>核查</w:t>
      </w:r>
      <w:r>
        <w:rPr>
          <w:rFonts w:ascii="Times New Roman" w:eastAsia="仿宋_GB2312" w:hAnsi="Times New Roman"/>
          <w:sz w:val="32"/>
          <w:szCs w:val="32"/>
        </w:rPr>
        <w:t>建设单位缴存首次筹备经费的情况。</w:t>
      </w:r>
    </w:p>
    <w:p>
      <w:pPr>
        <w:spacing w:line="640" w:lineRule="exact"/>
        <w:ind w:firstLineChars="196" w:firstLine="627"/>
        <w:rPr>
          <w:rFonts w:ascii="Times New Roman" w:eastAsia="仿宋_GB2312" w:hAnsi="Times New Roman"/>
          <w:sz w:val="32"/>
          <w:szCs w:val="32"/>
        </w:rPr>
      </w:pPr>
      <w:r>
        <w:rPr>
          <w:rFonts w:ascii="Times New Roman" w:eastAsia="黑体" w:hAnsi="Times New Roman"/>
          <w:b/>
          <w:sz w:val="32"/>
          <w:szCs w:val="32"/>
        </w:rPr>
        <w:t>第八条</w:t>
      </w:r>
      <w:r>
        <w:rPr>
          <w:rFonts w:ascii="Times New Roman" w:eastAsia="仿宋_GB2312" w:hAnsi="Times New Roman"/>
          <w:bCs/>
          <w:sz w:val="32"/>
          <w:szCs w:val="32"/>
        </w:rPr>
        <w:t>首次</w:t>
      </w:r>
      <w:r>
        <w:rPr>
          <w:rFonts w:ascii="Times New Roman" w:eastAsia="仿宋_GB2312" w:hAnsi="Times New Roman"/>
          <w:sz w:val="32"/>
          <w:szCs w:val="32"/>
        </w:rPr>
        <w:t>筹备经费主要用于首次业主大会筹备及会议期间所需的办公用品、资料印刷、会务、宣传、交通、通讯、误餐补助以及按照有关规定聘请第三方等必要费用的支出。</w:t>
      </w:r>
    </w:p>
    <w:p>
      <w:pPr>
        <w:spacing w:line="640" w:lineRule="exact"/>
        <w:ind w:firstLineChars="196" w:firstLine="627"/>
        <w:rPr>
          <w:rFonts w:ascii="Times New Roman" w:eastAsia="仿宋_GB2312" w:hAnsi="Times New Roman"/>
          <w:sz w:val="32"/>
          <w:szCs w:val="32"/>
        </w:rPr>
      </w:pPr>
      <w:r>
        <w:rPr>
          <w:rFonts w:ascii="Times New Roman" w:eastAsia="黑体" w:hAnsi="Times New Roman"/>
          <w:b/>
          <w:sz w:val="32"/>
          <w:szCs w:val="32"/>
        </w:rPr>
        <w:t>第九条</w:t>
      </w:r>
      <w:r>
        <w:rPr>
          <w:rFonts w:ascii="Times New Roman" w:eastAsia="仿宋_GB2312" w:hAnsi="Times New Roman"/>
          <w:sz w:val="32"/>
          <w:szCs w:val="32"/>
        </w:rPr>
        <w:t>业主大会筹备组成立后，应当按照本办法第八条的规定制定首次筹备经费预算，向街道办事处（镇人民政府）申请预支首次筹备经费，提供下列资料:</w:t>
      </w:r>
    </w:p>
    <w:p>
      <w:pPr>
        <w:spacing w:line="640" w:lineRule="exact"/>
        <w:ind w:firstLineChars="196" w:firstLine="627"/>
        <w:rPr>
          <w:rFonts w:ascii="Times New Roman" w:eastAsia="仿宋_GB2312" w:hAnsi="Times New Roman"/>
          <w:sz w:val="32"/>
          <w:szCs w:val="32"/>
        </w:rPr>
      </w:pPr>
      <w:r>
        <w:rPr>
          <w:rFonts w:ascii="Times New Roman" w:eastAsia="仿宋_GB2312" w:hAnsi="Times New Roman"/>
          <w:sz w:val="32"/>
          <w:szCs w:val="32"/>
        </w:rPr>
        <w:t>（一）首次筹备经费申请报告及预算报告；</w:t>
      </w:r>
    </w:p>
    <w:p>
      <w:pPr>
        <w:spacing w:line="640" w:lineRule="exact"/>
        <w:ind w:firstLineChars="196" w:firstLine="627"/>
        <w:rPr>
          <w:rFonts w:ascii="Times New Roman" w:eastAsia="仿宋_GB2312" w:hAnsi="Times New Roman"/>
          <w:sz w:val="32"/>
          <w:szCs w:val="32"/>
        </w:rPr>
      </w:pPr>
      <w:r>
        <w:rPr>
          <w:rFonts w:ascii="Times New Roman" w:eastAsia="仿宋_GB2312" w:hAnsi="Times New Roman"/>
          <w:sz w:val="32"/>
          <w:szCs w:val="32"/>
        </w:rPr>
        <w:t>（</w:t>
      </w:r>
      <w:r>
        <w:rPr>
          <w:rFonts w:ascii="Times New Roman" w:eastAsia="仿宋_GB2312" w:hAnsi="Times New Roman" w:hint="eastAsia"/>
          <w:sz w:val="32"/>
          <w:szCs w:val="32"/>
        </w:rPr>
        <w:t>二</w:t>
      </w:r>
      <w:r>
        <w:rPr>
          <w:rFonts w:ascii="Times New Roman" w:eastAsia="仿宋_GB2312" w:hAnsi="Times New Roman"/>
          <w:sz w:val="32"/>
          <w:szCs w:val="32"/>
        </w:rPr>
        <w:t>）经筹备组盖章和筹备组组长签字的领款凭证。</w:t>
      </w:r>
    </w:p>
    <w:p>
      <w:pPr>
        <w:spacing w:line="640" w:lineRule="exact"/>
        <w:ind w:firstLineChars="196" w:firstLine="627"/>
        <w:rPr>
          <w:rFonts w:ascii="Times New Roman" w:eastAsia="仿宋_GB2312" w:hAnsi="Times New Roman"/>
          <w:sz w:val="32"/>
          <w:szCs w:val="32"/>
        </w:rPr>
      </w:pPr>
      <w:r>
        <w:rPr>
          <w:rFonts w:ascii="Times New Roman" w:eastAsia="仿宋_GB2312" w:hAnsi="Times New Roman"/>
          <w:sz w:val="32"/>
          <w:szCs w:val="32"/>
        </w:rPr>
        <w:t>街道办事处（镇人民政府）应当在接到申请后的三个工作日内，核实并划拨首次筹备经费预支款。</w:t>
      </w:r>
    </w:p>
    <w:p>
      <w:pPr>
        <w:spacing w:line="640" w:lineRule="exact"/>
        <w:ind w:firstLineChars="196" w:firstLine="627"/>
        <w:rPr>
          <w:rFonts w:ascii="Times New Roman" w:eastAsia="仿宋_GB2312" w:hAnsi="Times New Roman"/>
          <w:sz w:val="32"/>
          <w:szCs w:val="32"/>
        </w:rPr>
      </w:pPr>
      <w:r>
        <w:rPr>
          <w:rFonts w:ascii="Times New Roman" w:eastAsia="仿宋_GB2312" w:hAnsi="Times New Roman"/>
          <w:sz w:val="32"/>
          <w:szCs w:val="32"/>
        </w:rPr>
        <w:t>申请预支额度一般不超过首次筹备经费总额的60%。</w:t>
      </w:r>
    </w:p>
    <w:p>
      <w:pPr>
        <w:spacing w:line="640" w:lineRule="exact"/>
        <w:ind w:firstLineChars="196" w:firstLine="627"/>
        <w:rPr>
          <w:rFonts w:ascii="Times New Roman" w:eastAsia="仿宋_GB2312" w:hAnsi="Times New Roman"/>
          <w:sz w:val="32"/>
          <w:szCs w:val="32"/>
        </w:rPr>
      </w:pPr>
      <w:r>
        <w:rPr>
          <w:rFonts w:ascii="Times New Roman" w:eastAsia="黑体" w:hAnsi="Times New Roman"/>
          <w:b/>
          <w:sz w:val="32"/>
          <w:szCs w:val="32"/>
        </w:rPr>
        <w:t>第十条</w:t>
      </w:r>
      <w:r>
        <w:rPr>
          <w:rFonts w:ascii="Times New Roman" w:eastAsia="仿宋_GB2312" w:hAnsi="Times New Roman"/>
          <w:sz w:val="32"/>
          <w:szCs w:val="32"/>
        </w:rPr>
        <w:t>筹备组应当按照经核实批准的预算列支首次筹备经费。需要进行调整的，应当事前征得街道办事处（镇人民政府）同意。</w:t>
      </w:r>
    </w:p>
    <w:p>
      <w:pPr>
        <w:spacing w:line="640" w:lineRule="exact"/>
        <w:ind w:firstLineChars="196" w:firstLine="627"/>
        <w:rPr>
          <w:rFonts w:ascii="Times New Roman" w:eastAsia="仿宋_GB2312" w:hAnsi="Times New Roman"/>
          <w:sz w:val="32"/>
          <w:szCs w:val="32"/>
        </w:rPr>
      </w:pPr>
      <w:r>
        <w:rPr>
          <w:rFonts w:ascii="Times New Roman" w:eastAsia="黑体" w:hAnsi="Times New Roman"/>
          <w:b/>
          <w:sz w:val="32"/>
          <w:szCs w:val="32"/>
        </w:rPr>
        <w:t>第十一条</w:t>
      </w:r>
      <w:r>
        <w:rPr>
          <w:rFonts w:ascii="Times New Roman" w:eastAsia="仿宋_GB2312" w:hAnsi="Times New Roman"/>
          <w:sz w:val="32"/>
          <w:szCs w:val="32"/>
        </w:rPr>
        <w:t>业主大会选举产生业主委员会后，筹备组应当将首次筹备经费使用情况，包括经费开支原始单据、预算执行报告等资料移交给业主委员会，并在物业管理区域内显著位置公告，公告时间不少于七日。</w:t>
      </w:r>
    </w:p>
    <w:p>
      <w:pPr>
        <w:spacing w:line="640" w:lineRule="exact"/>
        <w:ind w:firstLineChars="196" w:firstLine="627"/>
        <w:rPr>
          <w:rFonts w:ascii="Times New Roman" w:eastAsia="仿宋_GB2312" w:hAnsi="Times New Roman"/>
          <w:sz w:val="32"/>
          <w:szCs w:val="32"/>
        </w:rPr>
      </w:pPr>
      <w:r>
        <w:rPr>
          <w:rFonts w:ascii="Times New Roman" w:eastAsia="仿宋_GB2312" w:hAnsi="Times New Roman"/>
          <w:sz w:val="32"/>
          <w:szCs w:val="32"/>
        </w:rPr>
        <w:t>业主大会未选举产生业主委员会，或业主大会未成立的，筹备组应当将前款资料在物业管理区域内显著位置公告，公告时间不少于七日。</w:t>
      </w:r>
    </w:p>
    <w:p>
      <w:pPr>
        <w:spacing w:line="640" w:lineRule="exact"/>
        <w:ind w:firstLineChars="196" w:firstLine="627"/>
        <w:rPr>
          <w:rFonts w:ascii="Times New Roman" w:eastAsia="仿宋_GB2312" w:hAnsi="Times New Roman"/>
          <w:sz w:val="32"/>
          <w:szCs w:val="32"/>
        </w:rPr>
      </w:pPr>
      <w:r>
        <w:rPr>
          <w:rFonts w:ascii="Times New Roman" w:eastAsia="仿宋_GB2312" w:hAnsi="Times New Roman"/>
          <w:sz w:val="32"/>
          <w:szCs w:val="32"/>
        </w:rPr>
        <w:t>业主对公告内容有异议的，可以向筹备组、业主委员会实名提出意见和建议，筹备组、业主委员会应当及时解释说明，协调解决。</w:t>
      </w:r>
    </w:p>
    <w:p>
      <w:pPr>
        <w:spacing w:line="640" w:lineRule="exact"/>
        <w:ind w:firstLineChars="196" w:firstLine="627"/>
        <w:rPr>
          <w:rFonts w:ascii="Times New Roman" w:eastAsia="仿宋_GB2312" w:hAnsi="Times New Roman"/>
          <w:sz w:val="32"/>
          <w:szCs w:val="32"/>
        </w:rPr>
      </w:pPr>
      <w:r>
        <w:rPr>
          <w:rFonts w:ascii="Times New Roman" w:eastAsia="黑体" w:hAnsi="Times New Roman"/>
          <w:b/>
          <w:sz w:val="32"/>
          <w:szCs w:val="32"/>
        </w:rPr>
        <w:t>第十二条</w:t>
      </w:r>
      <w:r>
        <w:rPr>
          <w:rFonts w:ascii="Times New Roman" w:eastAsia="仿宋_GB2312" w:hAnsi="Times New Roman"/>
          <w:sz w:val="32"/>
          <w:szCs w:val="32"/>
        </w:rPr>
        <w:t>首次业主大会会议应当审议首次筹备经费的预算执行报告。</w:t>
      </w:r>
    </w:p>
    <w:p>
      <w:pPr>
        <w:spacing w:line="640" w:lineRule="exact"/>
        <w:ind w:firstLineChars="196" w:firstLine="627"/>
        <w:rPr>
          <w:rFonts w:ascii="Times New Roman" w:eastAsia="仿宋_GB2312" w:hAnsi="Times New Roman"/>
          <w:sz w:val="32"/>
          <w:szCs w:val="32"/>
        </w:rPr>
      </w:pPr>
      <w:r>
        <w:rPr>
          <w:rFonts w:ascii="Times New Roman" w:eastAsia="仿宋_GB2312" w:hAnsi="Times New Roman"/>
          <w:sz w:val="32"/>
          <w:szCs w:val="32"/>
        </w:rPr>
        <w:t>业主委员会选举产生，并向街道办事处（镇人民政府）完成备案后，应当及时向街道办事处（镇人民政府）申请核销首次筹备经费，原筹备组组长和相关成员应当予以协助和配合。</w:t>
      </w:r>
    </w:p>
    <w:p>
      <w:pPr>
        <w:spacing w:line="640" w:lineRule="exact"/>
        <w:ind w:firstLineChars="196" w:firstLine="627"/>
        <w:rPr>
          <w:rFonts w:ascii="Times New Roman" w:eastAsia="仿宋_GB2312" w:hAnsi="Times New Roman"/>
          <w:sz w:val="32"/>
          <w:szCs w:val="32"/>
        </w:rPr>
      </w:pPr>
      <w:r>
        <w:rPr>
          <w:rFonts w:ascii="Times New Roman" w:eastAsia="仿宋_GB2312" w:hAnsi="Times New Roman"/>
          <w:sz w:val="32"/>
          <w:szCs w:val="32"/>
        </w:rPr>
        <w:t>业主大会未选举产生业主委员会，或业主大会未成立的，由筹备组向街道办事处（镇人民政府）申请核销首次筹备经费。</w:t>
      </w:r>
    </w:p>
    <w:p>
      <w:pPr>
        <w:spacing w:line="640" w:lineRule="exact"/>
        <w:ind w:firstLineChars="196" w:firstLine="627"/>
        <w:rPr>
          <w:rFonts w:ascii="Times New Roman" w:eastAsia="仿宋_GB2312" w:hAnsi="Times New Roman"/>
          <w:sz w:val="32"/>
          <w:szCs w:val="32"/>
        </w:rPr>
      </w:pPr>
      <w:r>
        <w:rPr>
          <w:rFonts w:ascii="Times New Roman" w:eastAsia="黑体" w:hAnsi="Times New Roman"/>
          <w:b/>
          <w:sz w:val="32"/>
          <w:szCs w:val="32"/>
        </w:rPr>
        <w:t>第十三条</w:t>
      </w:r>
      <w:r>
        <w:rPr>
          <w:rFonts w:ascii="Times New Roman" w:eastAsia="仿宋_GB2312" w:hAnsi="Times New Roman"/>
          <w:sz w:val="32"/>
          <w:szCs w:val="32"/>
        </w:rPr>
        <w:t>申请核销首次筹备经费的，应当提供下列资料：</w:t>
      </w:r>
    </w:p>
    <w:p>
      <w:pPr>
        <w:spacing w:line="640" w:lineRule="exact"/>
        <w:ind w:firstLineChars="196" w:firstLine="627"/>
        <w:rPr>
          <w:rFonts w:ascii="Times New Roman" w:eastAsia="仿宋_GB2312" w:hAnsi="Times New Roman"/>
          <w:sz w:val="32"/>
          <w:szCs w:val="32"/>
        </w:rPr>
      </w:pPr>
      <w:r>
        <w:rPr>
          <w:rFonts w:ascii="Times New Roman" w:eastAsia="仿宋_GB2312" w:hAnsi="Times New Roman"/>
          <w:sz w:val="32"/>
          <w:szCs w:val="32"/>
        </w:rPr>
        <w:t>（一）符合财务会计制度的原始凭证；</w:t>
      </w:r>
    </w:p>
    <w:p>
      <w:pPr>
        <w:spacing w:line="640" w:lineRule="exact"/>
        <w:ind w:firstLineChars="196" w:firstLine="627"/>
        <w:rPr>
          <w:rFonts w:ascii="Times New Roman" w:eastAsia="仿宋_GB2312" w:hAnsi="Times New Roman"/>
          <w:sz w:val="32"/>
          <w:szCs w:val="32"/>
        </w:rPr>
      </w:pPr>
      <w:r>
        <w:rPr>
          <w:rFonts w:ascii="Times New Roman" w:eastAsia="仿宋_GB2312" w:hAnsi="Times New Roman"/>
          <w:sz w:val="32"/>
          <w:szCs w:val="32"/>
        </w:rPr>
        <w:t>（二）业主大会批准首次筹备经费预算执行报告的决定。未成立业主大会的，提供筹备组关于首次筹备经费的预算执行报告；</w:t>
      </w:r>
    </w:p>
    <w:p>
      <w:pPr>
        <w:spacing w:line="640" w:lineRule="exact"/>
        <w:ind w:firstLineChars="196" w:firstLine="627"/>
        <w:rPr>
          <w:rFonts w:ascii="Times New Roman" w:eastAsia="仿宋_GB2312" w:hAnsi="Times New Roman"/>
          <w:sz w:val="32"/>
          <w:szCs w:val="32"/>
        </w:rPr>
      </w:pPr>
      <w:r>
        <w:rPr>
          <w:rFonts w:ascii="Times New Roman" w:eastAsia="仿宋_GB2312" w:hAnsi="Times New Roman"/>
          <w:sz w:val="32"/>
          <w:szCs w:val="32"/>
        </w:rPr>
        <w:t>（三）业主对首次筹备经费使用情况的意见、建议。</w:t>
      </w:r>
    </w:p>
    <w:p>
      <w:pPr>
        <w:spacing w:line="640" w:lineRule="exact"/>
        <w:ind w:firstLineChars="196" w:firstLine="627"/>
        <w:rPr>
          <w:rFonts w:ascii="Times New Roman" w:eastAsia="仿宋_GB2312" w:hAnsi="Times New Roman"/>
          <w:sz w:val="32"/>
          <w:szCs w:val="32"/>
        </w:rPr>
      </w:pPr>
      <w:r>
        <w:rPr>
          <w:rFonts w:ascii="Times New Roman" w:eastAsia="黑体" w:hAnsi="Times New Roman"/>
          <w:b/>
          <w:sz w:val="32"/>
          <w:szCs w:val="32"/>
        </w:rPr>
        <w:t>第十四条</w:t>
      </w:r>
      <w:r>
        <w:rPr>
          <w:rFonts w:ascii="Times New Roman" w:eastAsia="仿宋_GB2312" w:hAnsi="Times New Roman"/>
          <w:sz w:val="32"/>
          <w:szCs w:val="32"/>
        </w:rPr>
        <w:t>街道办事处（镇人民政府）应当自收到核销申请之日起七个工作日内完成审核。</w:t>
      </w:r>
    </w:p>
    <w:p>
      <w:pPr>
        <w:spacing w:line="640" w:lineRule="exact"/>
        <w:ind w:firstLineChars="196" w:firstLine="627"/>
        <w:rPr>
          <w:rFonts w:ascii="Times New Roman" w:eastAsia="仿宋_GB2312" w:hAnsi="Times New Roman"/>
          <w:sz w:val="32"/>
          <w:szCs w:val="32"/>
        </w:rPr>
      </w:pPr>
      <w:r>
        <w:rPr>
          <w:rFonts w:ascii="Times New Roman" w:eastAsia="仿宋_GB2312" w:hAnsi="Times New Roman"/>
          <w:sz w:val="32"/>
          <w:szCs w:val="32"/>
        </w:rPr>
        <w:t>核定首次筹备经费低于预支额度的，核销申请人应当将差额部分退还至筹备经费专户。核定首次筹备经费超出预支额度的，街道办事处（镇人民政府）应当向核销申请人拨付超出部分。核定首次筹备经费超出首次筹备经费交存总额的，超出部分由核销申请人自行承担。</w:t>
      </w:r>
    </w:p>
    <w:p>
      <w:pPr>
        <w:spacing w:line="640" w:lineRule="exact"/>
        <w:ind w:firstLineChars="196" w:firstLine="627"/>
        <w:rPr>
          <w:rFonts w:ascii="Times New Roman" w:eastAsia="仿宋_GB2312" w:hAnsi="Times New Roman"/>
          <w:sz w:val="32"/>
          <w:szCs w:val="32"/>
        </w:rPr>
      </w:pPr>
      <w:r>
        <w:rPr>
          <w:rFonts w:ascii="Times New Roman" w:eastAsia="黑体" w:hAnsi="Times New Roman"/>
          <w:b/>
          <w:sz w:val="32"/>
          <w:szCs w:val="32"/>
        </w:rPr>
        <w:t>第十五条</w:t>
      </w:r>
      <w:r>
        <w:rPr>
          <w:rFonts w:ascii="Times New Roman" w:eastAsia="仿宋_GB2312" w:hAnsi="Times New Roman"/>
          <w:sz w:val="32"/>
          <w:szCs w:val="32"/>
        </w:rPr>
        <w:t>首次筹备经费如有结余的，结余部分根据业主大会的决定，可以用于业主大会换届改选经费、纳入住宅专项维修资金或者用于业主组织运行的其他需要。</w:t>
      </w:r>
    </w:p>
    <w:p>
      <w:pPr>
        <w:spacing w:line="640" w:lineRule="exact"/>
        <w:ind w:firstLineChars="196" w:firstLine="627"/>
        <w:rPr>
          <w:rFonts w:ascii="Times New Roman" w:eastAsia="仿宋_GB2312" w:hAnsi="Times New Roman"/>
          <w:sz w:val="32"/>
          <w:szCs w:val="32"/>
        </w:rPr>
      </w:pPr>
      <w:r>
        <w:rPr>
          <w:rFonts w:ascii="Times New Roman" w:eastAsia="仿宋_GB2312" w:hAnsi="Times New Roman"/>
          <w:sz w:val="32"/>
          <w:szCs w:val="32"/>
        </w:rPr>
        <w:t>业主大会、业主委员会依据《南京市住宅物业管理条例》设立业主共有资金账户后，应当及时将账户设立情况书面告知街道办事处（镇人民政府）。街道办事处（镇人民政府）接到告知后，应当于十五日内将首次筹备经费结余部分转入业主共有资金账户。</w:t>
      </w:r>
    </w:p>
    <w:p>
      <w:pPr>
        <w:spacing w:line="640" w:lineRule="exact"/>
        <w:ind w:firstLineChars="200" w:firstLine="640"/>
        <w:rPr>
          <w:rFonts w:ascii="Times New Roman" w:eastAsia="仿宋_GB2312" w:hAnsi="Times New Roman"/>
          <w:b/>
          <w:sz w:val="32"/>
          <w:szCs w:val="32"/>
        </w:rPr>
      </w:pPr>
      <w:r>
        <w:rPr>
          <w:rFonts w:ascii="Times New Roman" w:eastAsia="黑体" w:hAnsi="Times New Roman"/>
          <w:b/>
          <w:sz w:val="32"/>
          <w:szCs w:val="32"/>
        </w:rPr>
        <w:t>第十六条</w:t>
      </w:r>
      <w:r>
        <w:rPr>
          <w:rFonts w:ascii="Times New Roman" w:eastAsia="仿宋_GB2312" w:hAnsi="Times New Roman"/>
          <w:sz w:val="32"/>
          <w:szCs w:val="32"/>
        </w:rPr>
        <w:t>非住宅物业管理区域首次筹备经费管理可参照本办法执行。</w:t>
      </w:r>
    </w:p>
    <w:p>
      <w:pPr>
        <w:spacing w:line="640" w:lineRule="exact"/>
        <w:ind w:firstLineChars="224" w:firstLine="717"/>
        <w:rPr>
          <w:rFonts w:ascii="仿宋" w:eastAsia="仿宋" w:hAnsi="仿宋"/>
          <w:sz w:val="24"/>
        </w:rPr>
      </w:pPr>
      <w:r>
        <w:rPr>
          <w:rFonts w:ascii="Times New Roman" w:eastAsia="黑体" w:hAnsi="Times New Roman"/>
          <w:b/>
          <w:sz w:val="32"/>
          <w:szCs w:val="32"/>
        </w:rPr>
        <w:t>第十七条</w:t>
      </w:r>
      <w:r>
        <w:rPr>
          <w:rFonts w:ascii="仿宋" w:eastAsia="仿宋" w:hAnsi="仿宋"/>
          <w:sz w:val="32"/>
          <w:szCs w:val="32"/>
        </w:rPr>
        <w:t>本办法自2017年5月1日起施行</w:t>
      </w:r>
      <w:r>
        <w:rPr>
          <w:rFonts w:ascii="仿宋" w:eastAsia="仿宋" w:hAnsi="仿宋" w:hint="eastAsia"/>
          <w:sz w:val="32"/>
          <w:szCs w:val="32"/>
        </w:rPr>
        <w:t>，有效期至202</w:t>
      </w:r>
      <w:r>
        <w:rPr>
          <w:rFonts w:ascii="仿宋" w:eastAsia="仿宋" w:hAnsi="仿宋"/>
          <w:sz w:val="32"/>
          <w:szCs w:val="32"/>
        </w:rPr>
        <w:t>8</w:t>
      </w:r>
      <w:r>
        <w:rPr>
          <w:rFonts w:ascii="仿宋" w:eastAsia="仿宋" w:hAnsi="仿宋" w:hint="eastAsia"/>
          <w:sz w:val="32"/>
          <w:szCs w:val="32"/>
        </w:rPr>
        <w:t>年</w:t>
      </w:r>
      <w:r>
        <w:rPr>
          <w:rFonts w:ascii="仿宋" w:eastAsia="仿宋" w:hAnsi="仿宋"/>
          <w:sz w:val="32"/>
          <w:szCs w:val="32"/>
        </w:rPr>
        <w:t>8</w:t>
      </w:r>
      <w:r>
        <w:rPr>
          <w:rFonts w:ascii="仿宋" w:eastAsia="仿宋" w:hAnsi="仿宋" w:hint="eastAsia"/>
          <w:sz w:val="32"/>
          <w:szCs w:val="32"/>
        </w:rPr>
        <w:t>月</w:t>
      </w:r>
      <w:r>
        <w:rPr>
          <w:rFonts w:ascii="仿宋" w:eastAsia="仿宋" w:hAnsi="仿宋"/>
          <w:sz w:val="32"/>
          <w:szCs w:val="32"/>
        </w:rPr>
        <w:t>24</w:t>
      </w:r>
      <w:r>
        <w:rPr>
          <w:rFonts w:ascii="仿宋" w:eastAsia="仿宋" w:hAnsi="仿宋" w:hint="eastAsia"/>
          <w:sz w:val="32"/>
          <w:szCs w:val="32"/>
        </w:rPr>
        <w:t>日止</w:t>
      </w:r>
      <w:r>
        <w:rPr>
          <w:rFonts w:ascii="仿宋" w:eastAsia="仿宋" w:hAnsi="仿宋"/>
          <w:sz w:val="32"/>
          <w:szCs w:val="32"/>
        </w:rPr>
        <w:t>。</w:t>
      </w:r>
    </w:p>
    <w:p>
      <w:pPr>
        <w:spacing w:line="640" w:lineRule="exact"/>
        <w:ind w:right="26"/>
        <w:rPr>
          <w:rFonts w:ascii="仿宋" w:eastAsia="仿宋" w:hAnsi="仿宋"/>
        </w:rPr>
      </w:pPr>
    </w:p>
    <w:p>
      <w:pPr>
        <w:jc w:val="center"/>
        <w:rPr>
          <w:rFonts w:ascii="黑体" w:eastAsia="黑体" w:hAnsi="黑体"/>
        </w:rPr>
      </w:pPr>
    </w:p>
    <w:p>
      <w:pPr>
        <w:widowControl/>
        <w:jc w:val="left"/>
        <w:rPr>
          <w:rFonts w:ascii="黑体" w:eastAsia="黑体" w:hAnsi="黑体"/>
        </w:rPr>
      </w:pPr>
      <w:r>
        <w:rPr>
          <w:rFonts w:ascii="黑体" w:eastAsia="黑体" w:hAnsi="黑体"/>
        </w:rPr>
        <w:br w:type="page"/>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方正小标宋简体" w:eastAsia="方正小标宋简体" w:cs="Times New Roman" w:hAnsi="等线"/>
          <w:b w:val="0"/>
          <w:bCs w:val="0"/>
          <w:sz w:val="44"/>
          <w:szCs w:val="44"/>
        </w:rPr>
      </w:pPr>
      <w:r>
        <w:rPr>
          <w:rFonts w:ascii="方正小标宋简体" w:eastAsia="方正小标宋简体" w:cs="Times New Roman" w:hAnsi="等线" w:hint="eastAsia"/>
          <w:b/>
          <w:bCs/>
          <w:sz w:val="44"/>
          <w:szCs w:val="44"/>
        </w:rPr>
        <w:t>关于印发《南京市房屋白蚁防治单位名录</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方正小标宋简体" w:eastAsia="方正小标宋简体" w:cs="Times New Roman" w:hAnsi="等线"/>
          <w:b w:val="0"/>
          <w:bCs w:val="0"/>
          <w:sz w:val="44"/>
          <w:szCs w:val="44"/>
        </w:rPr>
      </w:pPr>
      <w:r>
        <w:rPr>
          <w:rFonts w:ascii="方正小标宋简体" w:eastAsia="方正小标宋简体" w:cs="Times New Roman" w:hAnsi="等线" w:hint="eastAsia"/>
          <w:b/>
          <w:bCs/>
          <w:sz w:val="44"/>
          <w:szCs w:val="44"/>
        </w:rPr>
        <w:t>管理办法》的通知</w:t>
      </w:r>
    </w:p>
    <w:p>
      <w:pPr>
        <w:jc w:val="center"/>
        <w:rPr>
          <w:rFonts w:ascii="仿宋_GB2312" w:eastAsia="仿宋_GB2312" w:cs="仿宋_GB2312" w:hAnsi="仿宋_GB2312" w:hint="eastAsia"/>
          <w:sz w:val="32"/>
          <w:szCs w:val="32"/>
        </w:rPr>
      </w:pPr>
      <w:r>
        <w:rPr>
          <w:rFonts w:ascii="仿宋_GB2312" w:eastAsia="仿宋_GB2312" w:cs="仿宋_GB2312" w:hAnsi="仿宋_GB2312" w:hint="eastAsia"/>
          <w:sz w:val="32"/>
          <w:szCs w:val="32"/>
        </w:rPr>
        <w:t>宁房规字〔2018〕1号</w:t>
      </w:r>
    </w:p>
    <w:p>
      <w:pPr>
        <w:spacing w:line="520" w:lineRule="exact"/>
        <w:rPr>
          <w:rFonts w:ascii="等线" w:eastAsia="仿宋_GB2312" w:cs="Times New Roman" w:hAnsi="等线"/>
          <w:sz w:val="32"/>
          <w:szCs w:val="32"/>
        </w:rPr>
      </w:pPr>
    </w:p>
    <w:p>
      <w:pPr>
        <w:spacing w:line="520" w:lineRule="exact"/>
        <w:rPr>
          <w:rFonts w:ascii="等线" w:eastAsia="仿宋_GB2312" w:cs="Times New Roman" w:hAnsi="等线"/>
          <w:sz w:val="32"/>
          <w:szCs w:val="32"/>
        </w:rPr>
      </w:pPr>
      <w:r>
        <w:rPr>
          <w:rFonts w:ascii="等线" w:eastAsia="仿宋_GB2312" w:cs="Times New Roman" w:hAnsi="等线"/>
          <w:sz w:val="32"/>
          <w:szCs w:val="32"/>
        </w:rPr>
        <w:t>江宁区、浦口区、六合区、溧水区、高淳区房产（住建）局</w:t>
      </w:r>
      <w:r>
        <w:rPr>
          <w:rFonts w:ascii="等线" w:eastAsia="仿宋_GB2312" w:cs="Times New Roman" w:hAnsi="等线" w:hint="eastAsia"/>
          <w:sz w:val="32"/>
          <w:szCs w:val="32"/>
        </w:rPr>
        <w:t>，</w:t>
      </w:r>
      <w:r>
        <w:rPr>
          <w:rFonts w:ascii="等线" w:eastAsia="仿宋_GB2312" w:cs="Times New Roman" w:hAnsi="等线"/>
          <w:sz w:val="32"/>
          <w:szCs w:val="32"/>
        </w:rPr>
        <w:t>江北新区建交局：</w:t>
      </w:r>
    </w:p>
    <w:p>
      <w:pPr>
        <w:spacing w:line="520" w:lineRule="exact"/>
        <w:ind w:firstLineChars="200" w:firstLine="640"/>
        <w:rPr>
          <w:rFonts w:ascii="等线" w:eastAsia="仿宋_GB2312" w:cs="Times New Roman" w:hAnsi="等线"/>
          <w:sz w:val="32"/>
          <w:szCs w:val="32"/>
        </w:rPr>
      </w:pPr>
      <w:r>
        <w:rPr>
          <w:rFonts w:ascii="等线" w:eastAsia="仿宋_GB2312" w:cs="Times New Roman" w:hAnsi="等线"/>
          <w:sz w:val="32"/>
          <w:szCs w:val="32"/>
        </w:rPr>
        <w:t>为进一步贯彻落实《南京市房屋安全使用管理条例》，规范我市房屋白蚁防治活动，促进房屋白蚁防治市场健康发展，现将《南京市房屋白蚁防治单位名录管理办法》印发给你们，请认真贯彻执行。</w:t>
      </w:r>
    </w:p>
    <w:p>
      <w:pPr>
        <w:spacing w:line="520" w:lineRule="exact"/>
        <w:ind w:firstLineChars="200" w:firstLine="640"/>
        <w:rPr>
          <w:rFonts w:ascii="等线" w:eastAsia="仿宋_GB2312" w:cs="Times New Roman" w:hAnsi="等线"/>
          <w:sz w:val="32"/>
          <w:szCs w:val="32"/>
        </w:rPr>
      </w:pPr>
    </w:p>
    <w:p>
      <w:pPr>
        <w:spacing w:line="520" w:lineRule="exact"/>
        <w:ind w:firstLineChars="200" w:firstLine="640"/>
        <w:rPr>
          <w:rFonts w:ascii="等线" w:eastAsia="仿宋_GB2312" w:cs="Times New Roman" w:hAnsi="等线"/>
          <w:sz w:val="32"/>
          <w:szCs w:val="32"/>
        </w:rPr>
      </w:pPr>
      <w:r>
        <w:rPr>
          <w:rFonts w:ascii="等线" w:eastAsia="仿宋_GB2312" w:cs="Times New Roman" w:hAnsi="等线"/>
          <w:sz w:val="32"/>
          <w:szCs w:val="32"/>
        </w:rPr>
        <w:t>附件：《南京市房屋白蚁防治单位名录管理办法》</w:t>
      </w:r>
    </w:p>
    <w:p>
      <w:pPr>
        <w:spacing w:line="560" w:lineRule="exact"/>
        <w:ind w:firstLineChars="200" w:firstLine="640"/>
        <w:rPr>
          <w:rFonts w:ascii="等线" w:eastAsia="仿宋_GB2312" w:cs="Times New Roman" w:hAnsi="等线"/>
          <w:sz w:val="32"/>
          <w:szCs w:val="32"/>
        </w:rPr>
      </w:pPr>
    </w:p>
    <w:p>
      <w:pPr>
        <w:spacing w:line="560" w:lineRule="exact"/>
        <w:ind w:firstLineChars="200" w:firstLine="640"/>
        <w:rPr>
          <w:rFonts w:ascii="等线" w:eastAsia="仿宋_GB2312" w:cs="Times New Roman" w:hAnsi="等线"/>
          <w:sz w:val="32"/>
          <w:szCs w:val="32"/>
        </w:rPr>
      </w:pPr>
    </w:p>
    <w:p>
      <w:pPr>
        <w:spacing w:line="560" w:lineRule="exact"/>
        <w:ind w:firstLineChars="200" w:firstLine="640"/>
        <w:rPr>
          <w:rFonts w:ascii="等线" w:eastAsia="仿宋_GB2312" w:cs="Times New Roman" w:hAnsi="等线"/>
          <w:sz w:val="32"/>
          <w:szCs w:val="32"/>
        </w:rPr>
      </w:pPr>
    </w:p>
    <w:p>
      <w:pPr>
        <w:spacing w:line="0" w:lineRule="atLeast"/>
        <w:ind w:right="-74"/>
        <w:rPr>
          <w:rFonts w:ascii="Times Roman" w:eastAsia="仿宋_GB2312" w:cs="Times New Roman" w:hAnsi="Times Roman"/>
          <w:sz w:val="32"/>
          <w:szCs w:val="32"/>
        </w:rPr>
      </w:pPr>
      <w:r>
        <w:rPr>
          <w:rFonts w:ascii="Times Roman" w:eastAsia="仿宋_GB2312" w:cs="Times New Roman" w:hAnsi="等线" w:hint="eastAsia"/>
          <w:sz w:val="32"/>
          <w:szCs w:val="32"/>
        </w:rPr>
        <w:t>　　　　　　　　　　　　</w:t>
      </w:r>
      <w:r>
        <w:rPr>
          <w:rFonts w:ascii="Times Roman" w:eastAsia="仿宋_GB2312" w:cs="Times New Roman" w:hAnsi="Times Roman"/>
          <w:sz w:val="32"/>
          <w:szCs w:val="32"/>
        </w:rPr>
        <w:t xml:space="preserve">   </w:t>
      </w:r>
      <w:r>
        <w:rPr>
          <w:rFonts w:ascii="Times Roman" w:eastAsia="仿宋_GB2312" w:cs="Times New Roman" w:hAnsi="等线" w:hint="eastAsia"/>
          <w:sz w:val="32"/>
          <w:szCs w:val="32"/>
        </w:rPr>
        <w:t>　南京市住房保障和房产局</w:t>
      </w:r>
    </w:p>
    <w:p>
      <w:pPr>
        <w:jc w:val="center"/>
        <w:rPr>
          <w:rFonts w:ascii="Times Roman" w:eastAsia="仿宋_GB2312" w:cs="Times New Roman" w:hAnsi="等线"/>
          <w:sz w:val="32"/>
          <w:szCs w:val="32"/>
        </w:rPr>
      </w:pPr>
      <w:r>
        <w:rPr>
          <w:rFonts w:ascii="Times Roman" w:eastAsia="仿宋_GB2312" w:cs="Times New Roman" w:hAnsi="Times Roman" w:hint="eastAsia"/>
          <w:sz w:val="32"/>
          <w:szCs w:val="32"/>
        </w:rPr>
        <w:t xml:space="preserve">                            </w:t>
      </w:r>
      <w:r>
        <w:rPr>
          <w:rFonts w:ascii="Times Roman" w:eastAsia="仿宋_GB2312" w:cs="Times New Roman" w:hAnsi="Times Roman"/>
          <w:sz w:val="32"/>
          <w:szCs w:val="32"/>
        </w:rPr>
        <w:t>2018</w:t>
      </w:r>
      <w:r>
        <w:rPr>
          <w:rFonts w:ascii="Times Roman" w:eastAsia="仿宋_GB2312" w:cs="Times New Roman" w:hAnsi="等线" w:hint="eastAsia"/>
          <w:sz w:val="32"/>
          <w:szCs w:val="32"/>
        </w:rPr>
        <w:t>年11月20日</w:t>
      </w:r>
    </w:p>
    <w:p>
      <w:pPr>
        <w:jc w:val="center"/>
        <w:rPr>
          <w:rFonts w:ascii="Times Roman" w:eastAsia="仿宋_GB2312" w:cs="Times New Roman" w:hAnsi="等线"/>
          <w:sz w:val="32"/>
          <w:szCs w:val="32"/>
        </w:rPr>
      </w:pPr>
    </w:p>
    <w:p>
      <w:pPr>
        <w:jc w:val="center"/>
        <w:rPr>
          <w:rFonts w:ascii="Times Roman" w:eastAsia="仿宋_GB2312" w:cs="Times New Roman" w:hAnsi="等线"/>
          <w:sz w:val="32"/>
          <w:szCs w:val="32"/>
        </w:rPr>
      </w:pPr>
    </w:p>
    <w:p>
      <w:pPr>
        <w:jc w:val="center"/>
        <w:rPr>
          <w:rFonts w:ascii="Times Roman" w:eastAsia="仿宋_GB2312" w:cs="Times New Roman" w:hAnsi="等线"/>
          <w:sz w:val="32"/>
          <w:szCs w:val="32"/>
        </w:rPr>
      </w:pPr>
    </w:p>
    <w:p>
      <w:pPr>
        <w:jc w:val="center"/>
        <w:rPr>
          <w:rFonts w:ascii="Times Roman" w:eastAsia="仿宋_GB2312" w:cs="Times New Roman" w:hAnsi="等线"/>
          <w:sz w:val="32"/>
          <w:szCs w:val="32"/>
        </w:rPr>
      </w:pPr>
    </w:p>
    <w:p>
      <w:pPr>
        <w:jc w:val="center"/>
        <w:rPr>
          <w:rFonts w:ascii="Times Roman" w:eastAsia="仿宋_GB2312" w:cs="Times New Roman" w:hAnsi="等线"/>
          <w:sz w:val="32"/>
          <w:szCs w:val="32"/>
        </w:rPr>
      </w:pPr>
    </w:p>
    <w:p>
      <w:pPr>
        <w:jc w:val="center"/>
        <w:rPr>
          <w:rFonts w:ascii="Times Roman" w:eastAsia="仿宋_GB2312" w:cs="Times New Roman" w:hAnsi="等线"/>
          <w:sz w:val="32"/>
          <w:szCs w:val="32"/>
        </w:rPr>
      </w:pPr>
    </w:p>
    <w:p>
      <w:pPr>
        <w:jc w:val="center"/>
        <w:rPr>
          <w:rFonts w:ascii="Times Roman" w:eastAsia="仿宋_GB2312" w:cs="Times New Roman" w:hAnsi="等线"/>
          <w:sz w:val="32"/>
          <w:szCs w:val="32"/>
        </w:rPr>
      </w:pPr>
    </w:p>
    <w:p>
      <w:pPr>
        <w:jc w:val="center"/>
        <w:rPr>
          <w:rFonts w:ascii="Times Roman" w:eastAsia="仿宋_GB2312" w:cs="Times New Roman" w:hAnsi="等线"/>
          <w:sz w:val="32"/>
          <w:szCs w:val="32"/>
        </w:rPr>
      </w:pPr>
    </w:p>
    <w:p>
      <w:pPr>
        <w:widowControl/>
        <w:jc w:val="left"/>
        <w:rPr>
          <w:rFonts w:ascii="Times Roman" w:eastAsia="仿宋_GB2312" w:cs="Times New Roman" w:hAnsi="等线"/>
          <w:sz w:val="32"/>
          <w:szCs w:val="32"/>
        </w:rPr>
      </w:pPr>
      <w:r>
        <w:rPr>
          <w:rFonts w:ascii="Times Roman" w:eastAsia="仿宋_GB2312" w:cs="Times New Roman" w:hAnsi="等线"/>
          <w:sz w:val="32"/>
          <w:szCs w:val="32"/>
        </w:rPr>
        <w:br w:type="page"/>
      </w:r>
    </w:p>
    <w:p>
      <w:pPr>
        <w:jc w:val="center"/>
        <w:rPr>
          <w:rFonts w:ascii="方正小标宋简体" w:eastAsia="方正小标宋简体" w:cs="Times New Roman" w:hAnsi="等线"/>
          <w:sz w:val="44"/>
          <w:szCs w:val="44"/>
        </w:rPr>
      </w:pPr>
      <w:r>
        <w:rPr>
          <w:rFonts w:ascii="方正小标宋简体" w:eastAsia="方正小标宋简体" w:cs="Times New Roman" w:hAnsi="等线" w:hint="eastAsia"/>
          <w:sz w:val="44"/>
          <w:szCs w:val="44"/>
        </w:rPr>
        <w:t>南京市房屋白蚁防治单位名录管理办法</w:t>
      </w:r>
    </w:p>
    <w:p>
      <w:pPr>
        <w:rPr>
          <w:rFonts w:ascii="仿宋_GB2312" w:eastAsia="仿宋_GB2312" w:cs="Times New Roman" w:hAnsi="等线"/>
          <w:sz w:val="32"/>
          <w:szCs w:val="32"/>
        </w:rPr>
      </w:pPr>
    </w:p>
    <w:p>
      <w:pPr>
        <w:jc w:val="center"/>
        <w:rPr>
          <w:rFonts w:ascii="黑体" w:eastAsia="黑体" w:cs="Times New Roman" w:hAnsi="黑体"/>
          <w:sz w:val="32"/>
          <w:szCs w:val="32"/>
        </w:rPr>
      </w:pPr>
      <w:r>
        <w:rPr>
          <w:rFonts w:ascii="黑体" w:eastAsia="黑体" w:cs="Times New Roman" w:hAnsi="黑体" w:hint="eastAsia"/>
          <w:sz w:val="32"/>
          <w:szCs w:val="32"/>
        </w:rPr>
        <w:t>第一章</w:t>
      </w:r>
      <w:r>
        <w:rPr>
          <w:rFonts w:ascii="黑体" w:eastAsia="黑体" w:cs="Times New Roman" w:hAnsi="黑体"/>
          <w:sz w:val="32"/>
          <w:szCs w:val="32"/>
        </w:rPr>
        <w:t xml:space="preserve"> </w:t>
      </w:r>
      <w:r>
        <w:rPr>
          <w:rFonts w:ascii="黑体" w:eastAsia="黑体" w:cs="Times New Roman" w:hAnsi="黑体" w:hint="eastAsia"/>
          <w:sz w:val="32"/>
          <w:szCs w:val="32"/>
        </w:rPr>
        <w:t>总</w:t>
      </w:r>
      <w:r>
        <w:rPr>
          <w:rFonts w:ascii="黑体" w:eastAsia="黑体" w:cs="Times New Roman" w:hAnsi="黑体"/>
          <w:sz w:val="32"/>
          <w:szCs w:val="32"/>
        </w:rPr>
        <w:t xml:space="preserve"> </w:t>
      </w:r>
      <w:r>
        <w:rPr>
          <w:rFonts w:ascii="黑体" w:eastAsia="黑体" w:cs="Times New Roman" w:hAnsi="黑体" w:hint="eastAsia"/>
          <w:sz w:val="32"/>
          <w:szCs w:val="32"/>
        </w:rPr>
        <w:t>则</w:t>
      </w:r>
    </w:p>
    <w:p>
      <w:pPr>
        <w:rPr>
          <w:rFonts w:ascii="仿宋_GB2312" w:eastAsia="仿宋_GB2312" w:cs="Times New Roman" w:hAnsi="等线"/>
          <w:sz w:val="32"/>
          <w:szCs w:val="32"/>
        </w:rPr>
      </w:pPr>
    </w:p>
    <w:p>
      <w:pPr>
        <w:ind w:firstLineChars="200" w:firstLine="640"/>
        <w:rPr>
          <w:rFonts w:ascii="仿宋_GB2312" w:eastAsia="仿宋_GB2312" w:cs="Times New Roman" w:hAnsi="等线"/>
          <w:sz w:val="32"/>
          <w:szCs w:val="32"/>
        </w:rPr>
      </w:pPr>
      <w:r>
        <w:rPr>
          <w:rFonts w:ascii="黑体" w:eastAsia="黑体" w:cs="Times New Roman" w:hAnsi="黑体" w:hint="eastAsia"/>
          <w:sz w:val="32"/>
          <w:szCs w:val="32"/>
        </w:rPr>
        <w:t>第一条</w:t>
      </w:r>
      <w:r>
        <w:rPr>
          <w:rFonts w:ascii="仿宋_GB2312" w:eastAsia="仿宋_GB2312" w:cs="Times New Roman" w:hAnsi="等线"/>
          <w:sz w:val="32"/>
          <w:szCs w:val="32"/>
        </w:rPr>
        <w:t xml:space="preserve"> </w:t>
      </w:r>
      <w:r>
        <w:rPr>
          <w:rFonts w:ascii="仿宋_GB2312" w:eastAsia="仿宋_GB2312" w:cs="Times New Roman" w:hAnsi="等线" w:hint="eastAsia"/>
          <w:sz w:val="32"/>
          <w:szCs w:val="32"/>
        </w:rPr>
        <w:t>为服务和规范本市房屋白蚁防治活动，促进房屋白蚁防治市场健康发展，根据《南京市房屋安全使用管理条例》，结合实际，制定本办法。</w:t>
      </w:r>
    </w:p>
    <w:p>
      <w:pPr>
        <w:ind w:firstLineChars="200" w:firstLine="640"/>
        <w:rPr>
          <w:rFonts w:ascii="仿宋_GB2312" w:eastAsia="仿宋_GB2312" w:cs="Times New Roman" w:hAnsi="等线"/>
          <w:sz w:val="32"/>
          <w:szCs w:val="32"/>
        </w:rPr>
      </w:pPr>
      <w:r>
        <w:rPr>
          <w:rFonts w:ascii="黑体" w:eastAsia="黑体" w:cs="Times New Roman" w:hAnsi="黑体" w:hint="eastAsia"/>
          <w:sz w:val="32"/>
          <w:szCs w:val="32"/>
        </w:rPr>
        <w:t>第二条</w:t>
      </w:r>
      <w:r>
        <w:rPr>
          <w:rFonts w:ascii="黑体" w:eastAsia="黑体" w:cs="Times New Roman" w:hAnsi="黑体"/>
          <w:sz w:val="32"/>
          <w:szCs w:val="32"/>
        </w:rPr>
        <w:t xml:space="preserve"> </w:t>
      </w:r>
      <w:r>
        <w:rPr>
          <w:rFonts w:ascii="仿宋_GB2312" w:eastAsia="仿宋_GB2312" w:cs="Times New Roman" w:hAnsi="等线" w:hint="eastAsia"/>
          <w:sz w:val="32"/>
          <w:szCs w:val="32"/>
        </w:rPr>
        <w:t>本办法适用于本市房屋白蚁防治单位名录库的建立、发布和更新。</w:t>
      </w:r>
    </w:p>
    <w:p>
      <w:pPr>
        <w:ind w:firstLineChars="200" w:firstLine="640"/>
        <w:rPr>
          <w:rFonts w:ascii="仿宋_GB2312" w:eastAsia="仿宋_GB2312" w:cs="Times New Roman" w:hAnsi="等线"/>
          <w:sz w:val="32"/>
          <w:szCs w:val="32"/>
        </w:rPr>
      </w:pPr>
      <w:r>
        <w:rPr>
          <w:rFonts w:ascii="仿宋_GB2312" w:eastAsia="仿宋_GB2312" w:cs="Times New Roman" w:hAnsi="等线" w:hint="eastAsia"/>
          <w:sz w:val="32"/>
          <w:szCs w:val="32"/>
        </w:rPr>
        <w:t>本办法所称的房屋白蚁防治单位（以下简称“防治单位”），是指具有独立的法人资格，在本市从事对新建、改建、扩建等房屋实施白蚁预防和对原有房屋白蚁检查与灭治的单位。</w:t>
      </w:r>
    </w:p>
    <w:p>
      <w:pPr>
        <w:ind w:firstLineChars="200" w:firstLine="640"/>
        <w:rPr>
          <w:rFonts w:ascii="仿宋_GB2312" w:eastAsia="仿宋_GB2312" w:cs="Times New Roman" w:hAnsi="等线"/>
          <w:sz w:val="32"/>
          <w:szCs w:val="32"/>
        </w:rPr>
      </w:pPr>
      <w:r>
        <w:rPr>
          <w:rFonts w:ascii="黑体" w:eastAsia="黑体" w:cs="Times New Roman" w:hAnsi="黑体" w:hint="eastAsia"/>
          <w:sz w:val="32"/>
          <w:szCs w:val="32"/>
        </w:rPr>
        <w:t>第三条</w:t>
      </w:r>
      <w:r>
        <w:rPr>
          <w:rFonts w:ascii="仿宋_GB2312" w:eastAsia="仿宋_GB2312" w:cs="Times New Roman" w:hAnsi="等线"/>
          <w:sz w:val="32"/>
          <w:szCs w:val="32"/>
        </w:rPr>
        <w:t xml:space="preserve"> </w:t>
      </w:r>
      <w:r>
        <w:rPr>
          <w:rFonts w:ascii="仿宋_GB2312" w:eastAsia="仿宋_GB2312" w:cs="Times New Roman" w:hAnsi="等线" w:hint="eastAsia"/>
          <w:sz w:val="32"/>
          <w:szCs w:val="32"/>
        </w:rPr>
        <w:t>名录管理遵循自愿申报、信息公开和动态更新的原则。</w:t>
      </w:r>
    </w:p>
    <w:p>
      <w:pPr>
        <w:ind w:firstLineChars="200" w:firstLine="640"/>
        <w:rPr>
          <w:rFonts w:ascii="仿宋_GB2312" w:eastAsia="仿宋_GB2312" w:cs="Times New Roman" w:hAnsi="等线"/>
          <w:sz w:val="32"/>
          <w:szCs w:val="32"/>
        </w:rPr>
      </w:pPr>
      <w:r>
        <w:rPr>
          <w:rFonts w:ascii="黑体" w:eastAsia="黑体" w:cs="Times New Roman" w:hAnsi="黑体" w:hint="eastAsia"/>
          <w:sz w:val="32"/>
          <w:szCs w:val="32"/>
        </w:rPr>
        <w:t>第四条</w:t>
      </w:r>
      <w:r>
        <w:rPr>
          <w:rFonts w:ascii="仿宋_GB2312" w:eastAsia="仿宋_GB2312" w:cs="Times New Roman" w:hAnsi="等线"/>
          <w:sz w:val="32"/>
          <w:szCs w:val="32"/>
        </w:rPr>
        <w:t xml:space="preserve"> </w:t>
      </w:r>
      <w:r>
        <w:rPr>
          <w:rFonts w:ascii="仿宋_GB2312" w:eastAsia="仿宋_GB2312" w:cs="Times New Roman" w:hAnsi="等线" w:hint="eastAsia"/>
          <w:sz w:val="32"/>
          <w:szCs w:val="32"/>
        </w:rPr>
        <w:t>市住房保障和房产局负责名录管理工作，其所属的市白蚁防治服务中心负责名录管理日常工作。</w:t>
      </w:r>
    </w:p>
    <w:p>
      <w:pPr>
        <w:ind w:firstLineChars="200" w:firstLine="640"/>
        <w:rPr>
          <w:rFonts w:ascii="仿宋_GB2312" w:eastAsia="仿宋_GB2312" w:cs="Times New Roman" w:hAnsi="等线"/>
          <w:sz w:val="32"/>
          <w:szCs w:val="32"/>
        </w:rPr>
      </w:pPr>
      <w:r>
        <w:rPr>
          <w:rFonts w:ascii="仿宋_GB2312" w:eastAsia="仿宋_GB2312" w:cs="Times New Roman" w:hAnsi="等线" w:hint="eastAsia"/>
          <w:sz w:val="32"/>
          <w:szCs w:val="32"/>
        </w:rPr>
        <w:t>江宁、浦口、六合、溧水、高淳区和江北新区房屋白蚁防治行政管理部门负责配合开展名录管理工作。</w:t>
      </w:r>
    </w:p>
    <w:p>
      <w:pPr>
        <w:jc w:val="center"/>
        <w:rPr>
          <w:rFonts w:ascii="黑体" w:eastAsia="黑体" w:cs="Times New Roman" w:hAnsi="黑体"/>
          <w:sz w:val="32"/>
          <w:szCs w:val="32"/>
        </w:rPr>
      </w:pPr>
    </w:p>
    <w:p>
      <w:pPr>
        <w:jc w:val="center"/>
        <w:rPr>
          <w:rFonts w:ascii="黑体" w:eastAsia="黑体" w:cs="Times New Roman" w:hAnsi="黑体"/>
          <w:sz w:val="32"/>
          <w:szCs w:val="32"/>
        </w:rPr>
      </w:pPr>
      <w:r>
        <w:rPr>
          <w:rFonts w:ascii="黑体" w:eastAsia="黑体" w:cs="Times New Roman" w:hAnsi="黑体" w:hint="eastAsia"/>
          <w:sz w:val="32"/>
          <w:szCs w:val="32"/>
        </w:rPr>
        <w:t>第二章　名录库建立</w:t>
      </w:r>
    </w:p>
    <w:p>
      <w:pPr>
        <w:rPr>
          <w:rFonts w:ascii="仿宋_GB2312" w:eastAsia="仿宋_GB2312" w:cs="Times New Roman" w:hAnsi="等线"/>
          <w:sz w:val="32"/>
          <w:szCs w:val="32"/>
        </w:rPr>
      </w:pPr>
    </w:p>
    <w:p>
      <w:pPr>
        <w:ind w:firstLineChars="200" w:firstLine="640"/>
        <w:rPr>
          <w:rFonts w:ascii="仿宋_GB2312" w:eastAsia="仿宋_GB2312" w:cs="Times New Roman" w:hAnsi="等线"/>
          <w:sz w:val="32"/>
          <w:szCs w:val="32"/>
        </w:rPr>
      </w:pPr>
      <w:r>
        <w:rPr>
          <w:rFonts w:ascii="仿宋_GB2312" w:eastAsia="仿宋_GB2312" w:cs="Times New Roman" w:hAnsi="等线"/>
          <w:sz w:val="32"/>
          <w:szCs w:val="32"/>
        </w:rPr>
        <w:t xml:space="preserve"> </w:t>
      </w:r>
      <w:r>
        <w:rPr>
          <w:rFonts w:ascii="黑体" w:eastAsia="黑体" w:cs="Times New Roman" w:hAnsi="黑体" w:hint="eastAsia"/>
          <w:sz w:val="32"/>
          <w:szCs w:val="32"/>
        </w:rPr>
        <w:t>第五条</w:t>
      </w:r>
      <w:r>
        <w:rPr>
          <w:rFonts w:ascii="仿宋_GB2312" w:eastAsia="仿宋_GB2312" w:cs="Times New Roman" w:hAnsi="等线"/>
          <w:sz w:val="32"/>
          <w:szCs w:val="32"/>
        </w:rPr>
        <w:t xml:space="preserve"> </w:t>
      </w:r>
      <w:r>
        <w:rPr>
          <w:rFonts w:ascii="仿宋_GB2312" w:eastAsia="仿宋_GB2312" w:cs="Times New Roman" w:hAnsi="等线" w:hint="eastAsia"/>
          <w:sz w:val="32"/>
          <w:szCs w:val="32"/>
        </w:rPr>
        <w:t>申报载入名录库的防治单位应当具备下列条件：</w:t>
      </w:r>
    </w:p>
    <w:p>
      <w:pPr>
        <w:ind w:firstLineChars="200" w:firstLine="640"/>
        <w:rPr>
          <w:rFonts w:ascii="仿宋_GB2312" w:eastAsia="仿宋_GB2312" w:cs="Times New Roman" w:hAnsi="等线"/>
          <w:sz w:val="32"/>
          <w:szCs w:val="32"/>
        </w:rPr>
      </w:pPr>
      <w:r>
        <w:rPr>
          <w:rFonts w:ascii="仿宋_GB2312" w:eastAsia="仿宋_GB2312" w:cs="Times New Roman" w:hAnsi="等线" w:hint="eastAsia"/>
          <w:sz w:val="32"/>
          <w:szCs w:val="32"/>
        </w:rPr>
        <w:t>（一）具有独立的法人资格、在本市从事房屋白蚁防治业务；</w:t>
      </w:r>
    </w:p>
    <w:p>
      <w:pPr>
        <w:ind w:firstLineChars="200" w:firstLine="640"/>
        <w:rPr>
          <w:rFonts w:ascii="仿宋_GB2312" w:eastAsia="仿宋_GB2312" w:cs="Times New Roman" w:hAnsi="等线"/>
          <w:sz w:val="32"/>
          <w:szCs w:val="32"/>
        </w:rPr>
      </w:pPr>
      <w:r>
        <w:rPr>
          <w:rFonts w:ascii="仿宋_GB2312" w:eastAsia="仿宋_GB2312" w:cs="Times New Roman" w:hAnsi="等线" w:hint="eastAsia"/>
          <w:sz w:val="32"/>
          <w:szCs w:val="32"/>
        </w:rPr>
        <w:t>（二）配备国家和省规定的房屋白蚁防治相应的专业技术人员和专业设备；</w:t>
      </w:r>
    </w:p>
    <w:p>
      <w:pPr>
        <w:ind w:firstLineChars="200" w:firstLine="640"/>
        <w:rPr>
          <w:rFonts w:ascii="仿宋_GB2312" w:eastAsia="仿宋_GB2312" w:cs="Times New Roman" w:hAnsi="等线"/>
          <w:sz w:val="32"/>
          <w:szCs w:val="32"/>
        </w:rPr>
      </w:pPr>
      <w:r>
        <w:rPr>
          <w:rFonts w:ascii="仿宋_GB2312" w:eastAsia="仿宋_GB2312" w:cs="Times New Roman" w:hAnsi="等线" w:hint="eastAsia"/>
          <w:sz w:val="32"/>
          <w:szCs w:val="32"/>
        </w:rPr>
        <w:t>（三）使用国家规定的药物，并按照规定程序进行房屋白蚁防治；</w:t>
      </w:r>
    </w:p>
    <w:p>
      <w:pPr>
        <w:ind w:firstLineChars="200" w:firstLine="640"/>
        <w:rPr>
          <w:rFonts w:ascii="仿宋_GB2312" w:eastAsia="仿宋_GB2312" w:cs="Times New Roman" w:hAnsi="等线"/>
          <w:sz w:val="32"/>
          <w:szCs w:val="32"/>
        </w:rPr>
      </w:pPr>
      <w:r>
        <w:rPr>
          <w:rFonts w:ascii="仿宋_GB2312" w:eastAsia="仿宋_GB2312" w:cs="Times New Roman" w:hAnsi="等线" w:hint="eastAsia"/>
          <w:sz w:val="32"/>
          <w:szCs w:val="32"/>
        </w:rPr>
        <w:t>（四）近三年内在经营活动中没有违法记录，或被行政监督部门处理期限已满。</w:t>
      </w:r>
    </w:p>
    <w:p>
      <w:pPr>
        <w:ind w:firstLineChars="200" w:firstLine="640"/>
        <w:rPr>
          <w:rFonts w:ascii="仿宋_GB2312" w:eastAsia="仿宋_GB2312" w:cs="Times New Roman" w:hAnsi="等线"/>
          <w:sz w:val="32"/>
          <w:szCs w:val="32"/>
        </w:rPr>
      </w:pPr>
      <w:r>
        <w:rPr>
          <w:rFonts w:ascii="黑体" w:eastAsia="黑体" w:cs="Times New Roman" w:hAnsi="黑体" w:hint="eastAsia"/>
          <w:sz w:val="32"/>
          <w:szCs w:val="32"/>
        </w:rPr>
        <w:t>第六条</w:t>
      </w:r>
      <w:r>
        <w:rPr>
          <w:rFonts w:ascii="仿宋_GB2312" w:eastAsia="仿宋_GB2312" w:cs="Times New Roman" w:hAnsi="等线"/>
          <w:sz w:val="32"/>
          <w:szCs w:val="32"/>
        </w:rPr>
        <w:t xml:space="preserve"> </w:t>
      </w:r>
      <w:r>
        <w:rPr>
          <w:rFonts w:ascii="仿宋_GB2312" w:eastAsia="仿宋_GB2312" w:cs="Times New Roman" w:hAnsi="等线" w:hint="eastAsia"/>
          <w:sz w:val="32"/>
          <w:szCs w:val="32"/>
        </w:rPr>
        <w:t>具备条件的防治单位均可自愿申报载入名录库。</w:t>
      </w:r>
    </w:p>
    <w:p>
      <w:pPr>
        <w:ind w:firstLineChars="200" w:firstLine="640"/>
        <w:rPr>
          <w:rFonts w:ascii="仿宋_GB2312" w:eastAsia="仿宋_GB2312" w:cs="Times New Roman" w:hAnsi="等线"/>
          <w:sz w:val="32"/>
          <w:szCs w:val="32"/>
        </w:rPr>
      </w:pPr>
      <w:r>
        <w:rPr>
          <w:rFonts w:ascii="黑体" w:eastAsia="黑体" w:cs="Times New Roman" w:hAnsi="黑体" w:hint="eastAsia"/>
          <w:sz w:val="32"/>
          <w:szCs w:val="32"/>
        </w:rPr>
        <w:t>第七条</w:t>
      </w:r>
      <w:r>
        <w:rPr>
          <w:rFonts w:ascii="仿宋_GB2312" w:eastAsia="仿宋_GB2312" w:cs="Times New Roman" w:hAnsi="等线"/>
          <w:sz w:val="32"/>
          <w:szCs w:val="32"/>
        </w:rPr>
        <w:t xml:space="preserve"> </w:t>
      </w:r>
      <w:r>
        <w:rPr>
          <w:rFonts w:ascii="仿宋_GB2312" w:eastAsia="仿宋_GB2312" w:cs="Times New Roman" w:hAnsi="等线" w:hint="eastAsia"/>
          <w:sz w:val="32"/>
          <w:szCs w:val="32"/>
        </w:rPr>
        <w:t>防治单位申报载入名录库应当提交下列材料：</w:t>
      </w:r>
    </w:p>
    <w:p>
      <w:pPr>
        <w:ind w:firstLineChars="200" w:firstLine="640"/>
        <w:rPr>
          <w:rFonts w:ascii="仿宋_GB2312" w:eastAsia="仿宋_GB2312" w:cs="Times New Roman" w:hAnsi="等线"/>
          <w:sz w:val="32"/>
          <w:szCs w:val="32"/>
        </w:rPr>
      </w:pPr>
      <w:r>
        <w:rPr>
          <w:rFonts w:ascii="仿宋_GB2312" w:eastAsia="仿宋_GB2312" w:cs="Times New Roman" w:hAnsi="等线" w:hint="eastAsia"/>
          <w:sz w:val="32"/>
          <w:szCs w:val="32"/>
        </w:rPr>
        <w:t>（一）法定代表人授权委托书；</w:t>
      </w:r>
    </w:p>
    <w:p>
      <w:pPr>
        <w:ind w:firstLineChars="200" w:firstLine="640"/>
        <w:rPr>
          <w:rFonts w:ascii="仿宋_GB2312" w:eastAsia="仿宋_GB2312" w:cs="Times New Roman" w:hAnsi="等线"/>
          <w:sz w:val="32"/>
          <w:szCs w:val="32"/>
        </w:rPr>
      </w:pPr>
      <w:r>
        <w:rPr>
          <w:rFonts w:ascii="仿宋_GB2312" w:eastAsia="仿宋_GB2312" w:cs="Times New Roman" w:hAnsi="等线" w:hint="eastAsia"/>
          <w:sz w:val="32"/>
          <w:szCs w:val="32"/>
        </w:rPr>
        <w:t>（二）防治单位入库申报书；</w:t>
      </w:r>
    </w:p>
    <w:p>
      <w:pPr>
        <w:ind w:firstLineChars="200" w:firstLine="640"/>
        <w:rPr>
          <w:rFonts w:ascii="仿宋_GB2312" w:eastAsia="仿宋_GB2312" w:cs="Times New Roman" w:hAnsi="等线"/>
          <w:sz w:val="32"/>
          <w:szCs w:val="32"/>
        </w:rPr>
      </w:pPr>
      <w:r>
        <w:rPr>
          <w:rFonts w:ascii="仿宋_GB2312" w:eastAsia="仿宋_GB2312" w:cs="Times New Roman" w:hAnsi="等线" w:hint="eastAsia"/>
          <w:sz w:val="32"/>
          <w:szCs w:val="32"/>
        </w:rPr>
        <w:t>（三）房屋白蚁防治服务公开承诺书。</w:t>
      </w:r>
    </w:p>
    <w:p>
      <w:pPr>
        <w:ind w:firstLineChars="200" w:firstLine="640"/>
        <w:rPr>
          <w:rFonts w:ascii="仿宋_GB2312" w:eastAsia="仿宋_GB2312" w:cs="Times New Roman" w:hAnsi="等线"/>
          <w:sz w:val="32"/>
          <w:szCs w:val="32"/>
        </w:rPr>
      </w:pPr>
      <w:r>
        <w:rPr>
          <w:rFonts w:ascii="黑体" w:eastAsia="黑体" w:cs="Times New Roman" w:hAnsi="黑体" w:hint="eastAsia"/>
          <w:sz w:val="32"/>
          <w:szCs w:val="32"/>
        </w:rPr>
        <w:t>第八条</w:t>
      </w:r>
      <w:r>
        <w:rPr>
          <w:rFonts w:ascii="仿宋_GB2312" w:eastAsia="仿宋_GB2312" w:cs="Times New Roman" w:hAnsi="等线"/>
          <w:sz w:val="32"/>
          <w:szCs w:val="32"/>
        </w:rPr>
        <w:t xml:space="preserve"> </w:t>
      </w:r>
      <w:r>
        <w:rPr>
          <w:rFonts w:ascii="仿宋_GB2312" w:eastAsia="仿宋_GB2312" w:cs="Times New Roman" w:hAnsi="等线" w:hint="eastAsia"/>
          <w:sz w:val="32"/>
          <w:szCs w:val="32"/>
        </w:rPr>
        <w:t>市住房保障和房产局官方网站是全市统一的名录库申报网络服务平台。申报采取线上或线下受理方式，防治单位可自愿选择申报方式，通过网络服务平台或管理服务对应窗口提交申报材料。</w:t>
      </w:r>
    </w:p>
    <w:p>
      <w:pPr>
        <w:ind w:firstLineChars="200" w:firstLine="640"/>
        <w:rPr>
          <w:rFonts w:ascii="仿宋_GB2312" w:eastAsia="仿宋_GB2312" w:cs="Times New Roman" w:hAnsi="等线"/>
          <w:sz w:val="32"/>
          <w:szCs w:val="32"/>
        </w:rPr>
      </w:pPr>
      <w:r>
        <w:rPr>
          <w:rFonts w:ascii="黑体" w:eastAsia="黑体" w:cs="Times New Roman" w:hAnsi="黑体" w:hint="eastAsia"/>
          <w:sz w:val="32"/>
          <w:szCs w:val="32"/>
        </w:rPr>
        <w:t>第九条</w:t>
      </w:r>
      <w:r>
        <w:rPr>
          <w:rFonts w:ascii="仿宋_GB2312" w:eastAsia="仿宋_GB2312" w:cs="Times New Roman" w:hAnsi="等线"/>
          <w:sz w:val="32"/>
          <w:szCs w:val="32"/>
        </w:rPr>
        <w:t xml:space="preserve"> </w:t>
      </w:r>
      <w:r>
        <w:rPr>
          <w:rFonts w:ascii="仿宋_GB2312" w:eastAsia="仿宋_GB2312" w:cs="Times New Roman" w:hAnsi="等线" w:hint="eastAsia"/>
          <w:sz w:val="32"/>
          <w:szCs w:val="32"/>
        </w:rPr>
        <w:t>受理申报后，市白蚁防治服务中心应当登记相关信息，将申报单位载入名录库。</w:t>
      </w:r>
    </w:p>
    <w:p>
      <w:pPr>
        <w:rPr>
          <w:rFonts w:ascii="仿宋_GB2312" w:eastAsia="仿宋_GB2312" w:cs="Times New Roman" w:hAnsi="等线"/>
          <w:sz w:val="32"/>
          <w:szCs w:val="32"/>
        </w:rPr>
      </w:pPr>
    </w:p>
    <w:p>
      <w:pPr>
        <w:jc w:val="center"/>
        <w:rPr>
          <w:rFonts w:ascii="黑体" w:eastAsia="黑体" w:cs="Times New Roman" w:hAnsi="黑体"/>
          <w:sz w:val="32"/>
          <w:szCs w:val="32"/>
        </w:rPr>
      </w:pPr>
      <w:r>
        <w:rPr>
          <w:rFonts w:ascii="黑体" w:eastAsia="黑体" w:cs="Times New Roman" w:hAnsi="黑体" w:hint="eastAsia"/>
          <w:sz w:val="32"/>
          <w:szCs w:val="32"/>
        </w:rPr>
        <w:t>第三章</w:t>
      </w:r>
      <w:r>
        <w:rPr>
          <w:rFonts w:ascii="黑体" w:eastAsia="黑体" w:cs="Times New Roman" w:hAnsi="黑体"/>
          <w:sz w:val="32"/>
          <w:szCs w:val="32"/>
        </w:rPr>
        <w:t xml:space="preserve"> </w:t>
      </w:r>
      <w:r>
        <w:rPr>
          <w:rFonts w:ascii="黑体" w:eastAsia="黑体" w:cs="Times New Roman" w:hAnsi="黑体" w:hint="eastAsia"/>
          <w:sz w:val="32"/>
          <w:szCs w:val="32"/>
        </w:rPr>
        <w:t>名录库发布</w:t>
      </w:r>
    </w:p>
    <w:p>
      <w:pPr>
        <w:rPr>
          <w:rFonts w:ascii="仿宋_GB2312" w:eastAsia="仿宋_GB2312" w:cs="Times New Roman" w:hAnsi="等线"/>
          <w:sz w:val="32"/>
          <w:szCs w:val="32"/>
        </w:rPr>
      </w:pPr>
    </w:p>
    <w:p>
      <w:pPr>
        <w:ind w:firstLineChars="200" w:firstLine="640"/>
        <w:rPr>
          <w:rFonts w:ascii="仿宋_GB2312" w:eastAsia="仿宋_GB2312" w:cs="Times New Roman" w:hAnsi="等线"/>
          <w:sz w:val="32"/>
          <w:szCs w:val="32"/>
        </w:rPr>
      </w:pPr>
      <w:r>
        <w:rPr>
          <w:rFonts w:ascii="黑体" w:eastAsia="黑体" w:cs="Times New Roman" w:hAnsi="黑体" w:hint="eastAsia"/>
          <w:sz w:val="32"/>
          <w:szCs w:val="32"/>
        </w:rPr>
        <w:t>第十条</w:t>
      </w:r>
      <w:r>
        <w:rPr>
          <w:rFonts w:ascii="仿宋_GB2312" w:eastAsia="仿宋_GB2312" w:cs="Times New Roman" w:hAnsi="等线"/>
          <w:sz w:val="32"/>
          <w:szCs w:val="32"/>
        </w:rPr>
        <w:t xml:space="preserve"> </w:t>
      </w:r>
      <w:r>
        <w:rPr>
          <w:rFonts w:ascii="仿宋_GB2312" w:eastAsia="仿宋_GB2312" w:cs="Times New Roman" w:hAnsi="等线" w:hint="eastAsia"/>
          <w:sz w:val="32"/>
          <w:szCs w:val="32"/>
        </w:rPr>
        <w:t>市住房保障和房产局官方网站是名录库发布的网络服务平台。</w:t>
      </w:r>
    </w:p>
    <w:p>
      <w:pPr>
        <w:ind w:firstLineChars="200" w:firstLine="640"/>
        <w:rPr>
          <w:rFonts w:ascii="仿宋_GB2312" w:eastAsia="仿宋_GB2312" w:cs="Times New Roman" w:hAnsi="等线"/>
          <w:sz w:val="32"/>
          <w:szCs w:val="32"/>
        </w:rPr>
      </w:pPr>
      <w:r>
        <w:rPr>
          <w:rFonts w:ascii="黑体" w:eastAsia="黑体" w:cs="Times New Roman" w:hAnsi="黑体" w:hint="eastAsia"/>
          <w:sz w:val="32"/>
          <w:szCs w:val="32"/>
        </w:rPr>
        <w:t>第十一条</w:t>
      </w:r>
      <w:r>
        <w:rPr>
          <w:rFonts w:ascii="仿宋_GB2312" w:eastAsia="仿宋_GB2312" w:cs="Times New Roman" w:hAnsi="等线"/>
          <w:sz w:val="32"/>
          <w:szCs w:val="32"/>
        </w:rPr>
        <w:t xml:space="preserve"> </w:t>
      </w:r>
      <w:r>
        <w:rPr>
          <w:rFonts w:ascii="仿宋_GB2312" w:eastAsia="仿宋_GB2312" w:cs="Times New Roman" w:hAnsi="等线" w:hint="eastAsia"/>
          <w:sz w:val="32"/>
          <w:szCs w:val="32"/>
        </w:rPr>
        <w:t>市住房保障和房产局分别于每年六月和十二月，两次定期发布名录库。</w:t>
      </w:r>
    </w:p>
    <w:p>
      <w:pPr>
        <w:ind w:firstLineChars="200" w:firstLine="640"/>
        <w:rPr>
          <w:rFonts w:ascii="仿宋_GB2312" w:eastAsia="仿宋_GB2312" w:cs="Times New Roman" w:hAnsi="等线"/>
          <w:color w:val="auto"/>
          <w:sz w:val="32"/>
          <w:szCs w:val="32"/>
        </w:rPr>
      </w:pPr>
      <w:r>
        <w:rPr>
          <w:rFonts w:ascii="黑体" w:eastAsia="黑体" w:cs="Times New Roman" w:hAnsi="黑体" w:hint="eastAsia"/>
          <w:color w:val="auto"/>
          <w:sz w:val="32"/>
          <w:szCs w:val="32"/>
        </w:rPr>
        <w:t>第十二条</w:t>
      </w:r>
      <w:r>
        <w:rPr>
          <w:rFonts w:ascii="仿宋_GB2312" w:eastAsia="仿宋_GB2312" w:cs="Times New Roman" w:hAnsi="等线"/>
          <w:color w:val="auto"/>
          <w:sz w:val="32"/>
          <w:szCs w:val="32"/>
        </w:rPr>
        <w:t xml:space="preserve"> </w:t>
      </w:r>
      <w:r>
        <w:rPr>
          <w:rFonts w:ascii="仿宋_GB2312" w:eastAsia="仿宋_GB2312" w:cs="Times New Roman" w:hAnsi="等线" w:hint="eastAsia"/>
          <w:color w:val="auto"/>
          <w:sz w:val="32"/>
          <w:szCs w:val="32"/>
        </w:rPr>
        <w:t>发布的名录库信息包含防治单位的名称、法人代表、地址、联系方式、房屋白蚁防治服务公开承诺书和</w:t>
      </w:r>
      <w:r>
        <w:rPr>
          <w:rFonts w:ascii="仿宋_GB2312" w:eastAsia="仿宋_GB2312" w:cs="Times New Roman" w:hAnsi="等线" w:hint="eastAsia"/>
          <w:color w:val="auto"/>
          <w:sz w:val="32"/>
          <w:szCs w:val="32"/>
          <w:lang w:val="en-US" w:eastAsia="zh-CN"/>
        </w:rPr>
        <w:t>信用</w:t>
      </w:r>
      <w:r>
        <w:rPr>
          <w:rFonts w:ascii="仿宋_GB2312" w:eastAsia="仿宋_GB2312" w:cs="Times New Roman" w:hAnsi="等线" w:hint="eastAsia"/>
          <w:color w:val="auto"/>
          <w:sz w:val="32"/>
          <w:szCs w:val="32"/>
        </w:rPr>
        <w:t>等信息。</w:t>
      </w:r>
    </w:p>
    <w:p>
      <w:pPr>
        <w:rPr>
          <w:rFonts w:ascii="仿宋_GB2312" w:eastAsia="仿宋_GB2312" w:cs="Times New Roman" w:hAnsi="等线"/>
          <w:color w:val="auto"/>
          <w:sz w:val="32"/>
          <w:szCs w:val="32"/>
        </w:rPr>
      </w:pPr>
      <w:r>
        <w:rPr>
          <w:rFonts w:ascii="仿宋_GB2312" w:eastAsia="仿宋_GB2312" w:cs="Times New Roman" w:hAnsi="等线" w:hint="eastAsia"/>
          <w:color w:val="auto"/>
          <w:sz w:val="32"/>
          <w:szCs w:val="32"/>
        </w:rPr>
        <w:t>　　　</w:t>
      </w:r>
    </w:p>
    <w:p>
      <w:pPr>
        <w:jc w:val="center"/>
        <w:rPr>
          <w:rFonts w:ascii="黑体" w:eastAsia="黑体" w:cs="Times New Roman" w:hAnsi="黑体"/>
          <w:color w:val="auto"/>
          <w:sz w:val="32"/>
          <w:szCs w:val="32"/>
        </w:rPr>
      </w:pPr>
      <w:r>
        <w:rPr>
          <w:rFonts w:ascii="黑体" w:eastAsia="黑体" w:cs="Times New Roman" w:hAnsi="黑体" w:hint="eastAsia"/>
          <w:color w:val="auto"/>
          <w:sz w:val="32"/>
          <w:szCs w:val="32"/>
        </w:rPr>
        <w:t>第四章</w:t>
      </w:r>
      <w:r>
        <w:rPr>
          <w:rFonts w:ascii="黑体" w:eastAsia="黑体" w:cs="Times New Roman" w:hAnsi="黑体"/>
          <w:color w:val="auto"/>
          <w:sz w:val="32"/>
          <w:szCs w:val="32"/>
        </w:rPr>
        <w:t xml:space="preserve"> </w:t>
      </w:r>
      <w:r>
        <w:rPr>
          <w:rFonts w:ascii="黑体" w:eastAsia="黑体" w:cs="Times New Roman" w:hAnsi="黑体" w:hint="eastAsia"/>
          <w:color w:val="auto"/>
          <w:sz w:val="32"/>
          <w:szCs w:val="32"/>
        </w:rPr>
        <w:t>名录库更新</w:t>
      </w:r>
    </w:p>
    <w:p>
      <w:pPr>
        <w:rPr>
          <w:rFonts w:ascii="仿宋_GB2312" w:eastAsia="仿宋_GB2312" w:cs="Times New Roman" w:hAnsi="等线"/>
          <w:color w:val="auto"/>
          <w:sz w:val="32"/>
          <w:szCs w:val="32"/>
        </w:rPr>
      </w:pPr>
    </w:p>
    <w:p>
      <w:pPr>
        <w:ind w:firstLineChars="200" w:firstLine="640"/>
        <w:rPr>
          <w:rFonts w:ascii="仿宋_GB2312" w:eastAsia="仿宋_GB2312" w:cs="Times New Roman" w:hAnsi="等线"/>
          <w:color w:val="auto"/>
          <w:sz w:val="32"/>
          <w:szCs w:val="32"/>
        </w:rPr>
      </w:pPr>
      <w:r>
        <w:rPr>
          <w:rFonts w:ascii="黑体" w:eastAsia="黑体" w:cs="Times New Roman" w:hAnsi="黑体" w:hint="eastAsia"/>
          <w:color w:val="auto"/>
          <w:sz w:val="32"/>
          <w:szCs w:val="32"/>
        </w:rPr>
        <w:t>第十三条</w:t>
      </w:r>
      <w:r>
        <w:rPr>
          <w:rFonts w:ascii="仿宋_GB2312" w:eastAsia="仿宋_GB2312" w:cs="Times New Roman" w:hAnsi="等线"/>
          <w:color w:val="auto"/>
          <w:sz w:val="32"/>
          <w:szCs w:val="32"/>
        </w:rPr>
        <w:t xml:space="preserve"> </w:t>
      </w:r>
      <w:r>
        <w:rPr>
          <w:rFonts w:ascii="仿宋_GB2312" w:eastAsia="仿宋_GB2312" w:cs="Times New Roman" w:hAnsi="等线" w:hint="eastAsia"/>
          <w:color w:val="auto"/>
          <w:sz w:val="32"/>
          <w:szCs w:val="32"/>
        </w:rPr>
        <w:t>市住房保障和房产局应当建立名录库信息与防治企业</w:t>
      </w:r>
      <w:r>
        <w:rPr>
          <w:rFonts w:ascii="仿宋_GB2312" w:eastAsia="仿宋_GB2312" w:cs="Times New Roman" w:hAnsi="等线" w:hint="eastAsia"/>
          <w:color w:val="auto"/>
          <w:sz w:val="32"/>
          <w:szCs w:val="32"/>
          <w:lang w:val="en-US" w:eastAsia="zh-CN"/>
        </w:rPr>
        <w:t>信用</w:t>
      </w:r>
      <w:r>
        <w:rPr>
          <w:rFonts w:ascii="仿宋_GB2312" w:eastAsia="仿宋_GB2312" w:cs="Times New Roman" w:hAnsi="等线" w:hint="eastAsia"/>
          <w:color w:val="auto"/>
          <w:sz w:val="32"/>
          <w:szCs w:val="32"/>
        </w:rPr>
        <w:t>信息联动更新机制。防治企业</w:t>
      </w:r>
      <w:r>
        <w:rPr>
          <w:rFonts w:ascii="仿宋_GB2312" w:eastAsia="仿宋_GB2312" w:cs="Times New Roman" w:hAnsi="等线" w:hint="eastAsia"/>
          <w:color w:val="auto"/>
          <w:sz w:val="32"/>
          <w:szCs w:val="32"/>
          <w:lang w:val="en-US" w:eastAsia="zh-CN"/>
        </w:rPr>
        <w:t>信用</w:t>
      </w:r>
      <w:r>
        <w:rPr>
          <w:rFonts w:ascii="仿宋_GB2312" w:eastAsia="仿宋_GB2312" w:cs="Times New Roman" w:hAnsi="等线" w:hint="eastAsia"/>
          <w:color w:val="auto"/>
          <w:sz w:val="32"/>
          <w:szCs w:val="32"/>
        </w:rPr>
        <w:t>信息发生变化的，市白蚁防治服务中心应当于</w:t>
      </w:r>
      <w:r>
        <w:rPr>
          <w:rFonts w:ascii="仿宋_GB2312" w:eastAsia="仿宋_GB2312" w:cs="Times New Roman" w:hAnsi="等线"/>
          <w:color w:val="auto"/>
          <w:sz w:val="32"/>
          <w:szCs w:val="32"/>
        </w:rPr>
        <w:t>5</w:t>
      </w:r>
      <w:r>
        <w:rPr>
          <w:rFonts w:ascii="仿宋_GB2312" w:eastAsia="仿宋_GB2312" w:cs="Times New Roman" w:hAnsi="等线" w:hint="eastAsia"/>
          <w:color w:val="auto"/>
          <w:sz w:val="32"/>
          <w:szCs w:val="32"/>
        </w:rPr>
        <w:t>个工作日内更新名录库。</w:t>
      </w:r>
    </w:p>
    <w:p>
      <w:pPr>
        <w:ind w:firstLineChars="200" w:firstLine="640"/>
        <w:rPr>
          <w:rFonts w:ascii="仿宋_GB2312" w:eastAsia="仿宋_GB2312" w:cs="Times New Roman" w:hAnsi="等线"/>
          <w:sz w:val="32"/>
          <w:szCs w:val="32"/>
        </w:rPr>
      </w:pPr>
      <w:r>
        <w:rPr>
          <w:rFonts w:ascii="黑体" w:eastAsia="黑体" w:cs="Times New Roman" w:hAnsi="黑体" w:hint="eastAsia"/>
          <w:color w:val="auto"/>
          <w:sz w:val="32"/>
          <w:szCs w:val="32"/>
        </w:rPr>
        <w:t>第十四条</w:t>
      </w:r>
      <w:r>
        <w:rPr>
          <w:rFonts w:ascii="仿宋_GB2312" w:eastAsia="仿宋_GB2312" w:cs="Times New Roman" w:hAnsi="等线"/>
          <w:color w:val="auto"/>
          <w:sz w:val="32"/>
          <w:szCs w:val="32"/>
        </w:rPr>
        <w:t xml:space="preserve"> </w:t>
      </w:r>
      <w:r>
        <w:rPr>
          <w:rFonts w:ascii="仿宋_GB2312" w:eastAsia="仿宋_GB2312" w:cs="Times New Roman" w:hAnsi="等线" w:hint="eastAsia"/>
          <w:color w:val="auto"/>
          <w:sz w:val="32"/>
          <w:szCs w:val="32"/>
        </w:rPr>
        <w:t>名录库发布后，具备条件的防治单位自</w:t>
      </w:r>
      <w:r>
        <w:rPr>
          <w:rFonts w:ascii="仿宋_GB2312" w:eastAsia="仿宋_GB2312" w:cs="Times New Roman" w:hAnsi="等线" w:hint="eastAsia"/>
          <w:sz w:val="32"/>
          <w:szCs w:val="32"/>
        </w:rPr>
        <w:t>愿申报载入名录，市白蚁防治服务中心应当在接受申报后</w:t>
      </w:r>
      <w:r>
        <w:rPr>
          <w:rFonts w:ascii="仿宋_GB2312" w:eastAsia="仿宋_GB2312" w:cs="Times New Roman" w:hAnsi="等线"/>
          <w:sz w:val="32"/>
          <w:szCs w:val="32"/>
        </w:rPr>
        <w:t>5</w:t>
      </w:r>
      <w:r>
        <w:rPr>
          <w:rFonts w:ascii="仿宋_GB2312" w:eastAsia="仿宋_GB2312" w:cs="Times New Roman" w:hAnsi="等线" w:hint="eastAsia"/>
          <w:sz w:val="32"/>
          <w:szCs w:val="32"/>
        </w:rPr>
        <w:t>个工作日内，登记相关信息，将申报单位载入并更新名录库。</w:t>
      </w:r>
    </w:p>
    <w:p>
      <w:pPr>
        <w:ind w:firstLineChars="200" w:firstLine="640"/>
        <w:rPr>
          <w:rFonts w:ascii="仿宋_GB2312" w:eastAsia="仿宋_GB2312" w:cs="Times New Roman" w:hAnsi="等线"/>
          <w:sz w:val="32"/>
          <w:szCs w:val="32"/>
        </w:rPr>
      </w:pPr>
      <w:r>
        <w:rPr>
          <w:rFonts w:ascii="黑体" w:eastAsia="黑体" w:cs="Times New Roman" w:hAnsi="黑体" w:hint="eastAsia"/>
          <w:sz w:val="32"/>
          <w:szCs w:val="32"/>
        </w:rPr>
        <w:t>第十五条</w:t>
      </w:r>
      <w:r>
        <w:rPr>
          <w:rFonts w:ascii="仿宋_GB2312" w:eastAsia="仿宋_GB2312" w:cs="Times New Roman" w:hAnsi="等线"/>
          <w:sz w:val="32"/>
          <w:szCs w:val="32"/>
        </w:rPr>
        <w:t xml:space="preserve"> </w:t>
      </w:r>
      <w:r>
        <w:rPr>
          <w:rFonts w:ascii="仿宋_GB2312" w:eastAsia="仿宋_GB2312" w:cs="Times New Roman" w:hAnsi="等线" w:hint="eastAsia"/>
          <w:sz w:val="32"/>
          <w:szCs w:val="32"/>
        </w:rPr>
        <w:t>防治单位有下列情形之一的，应当在情形发生后</w:t>
      </w:r>
      <w:r>
        <w:rPr>
          <w:rFonts w:ascii="仿宋_GB2312" w:eastAsia="仿宋_GB2312" w:cs="Times New Roman" w:hAnsi="等线"/>
          <w:sz w:val="32"/>
          <w:szCs w:val="32"/>
        </w:rPr>
        <w:t>10</w:t>
      </w:r>
      <w:r>
        <w:rPr>
          <w:rFonts w:ascii="仿宋_GB2312" w:eastAsia="仿宋_GB2312" w:cs="Times New Roman" w:hAnsi="等线" w:hint="eastAsia"/>
          <w:sz w:val="32"/>
          <w:szCs w:val="32"/>
        </w:rPr>
        <w:t>个工作日内，向市白蚁防治服务中心申报更新名录并提交相关材料：</w:t>
      </w:r>
    </w:p>
    <w:p>
      <w:pPr>
        <w:ind w:firstLineChars="200" w:firstLine="640"/>
        <w:rPr>
          <w:rFonts w:ascii="仿宋_GB2312" w:eastAsia="仿宋_GB2312" w:cs="Times New Roman" w:hAnsi="等线"/>
          <w:sz w:val="32"/>
          <w:szCs w:val="32"/>
        </w:rPr>
      </w:pPr>
      <w:r>
        <w:rPr>
          <w:rFonts w:ascii="仿宋_GB2312" w:eastAsia="仿宋_GB2312" w:cs="Times New Roman" w:hAnsi="等线" w:hint="eastAsia"/>
          <w:sz w:val="32"/>
          <w:szCs w:val="32"/>
        </w:rPr>
        <w:t>（一）名录信息发生变动的；</w:t>
      </w:r>
    </w:p>
    <w:p>
      <w:pPr>
        <w:ind w:firstLineChars="200" w:firstLine="640"/>
        <w:rPr>
          <w:rFonts w:ascii="仿宋_GB2312" w:eastAsia="仿宋_GB2312" w:cs="Times New Roman" w:hAnsi="等线"/>
          <w:sz w:val="32"/>
          <w:szCs w:val="32"/>
        </w:rPr>
      </w:pPr>
      <w:r>
        <w:rPr>
          <w:rFonts w:ascii="仿宋_GB2312" w:eastAsia="仿宋_GB2312" w:cs="Times New Roman" w:hAnsi="等线" w:hint="eastAsia"/>
          <w:sz w:val="32"/>
          <w:szCs w:val="32"/>
        </w:rPr>
        <w:t>（二）不再从事房屋白蚁防治业务，申报移出名录库的；</w:t>
      </w:r>
    </w:p>
    <w:p>
      <w:pPr>
        <w:ind w:firstLineChars="200" w:firstLine="640"/>
        <w:rPr>
          <w:rFonts w:ascii="仿宋_GB2312" w:eastAsia="仿宋_GB2312" w:cs="Times New Roman" w:hAnsi="等线"/>
          <w:sz w:val="32"/>
          <w:szCs w:val="32"/>
        </w:rPr>
      </w:pPr>
      <w:r>
        <w:rPr>
          <w:rFonts w:ascii="仿宋_GB2312" w:eastAsia="仿宋_GB2312" w:cs="Times New Roman" w:hAnsi="等线" w:hint="eastAsia"/>
          <w:sz w:val="32"/>
          <w:szCs w:val="32"/>
        </w:rPr>
        <w:t>（三）其它原因申报移出名录库的。</w:t>
      </w:r>
    </w:p>
    <w:p>
      <w:pPr>
        <w:ind w:firstLineChars="200" w:firstLine="640"/>
        <w:rPr>
          <w:rFonts w:ascii="仿宋_GB2312" w:eastAsia="仿宋_GB2312" w:cs="Times New Roman" w:hAnsi="等线"/>
          <w:sz w:val="32"/>
          <w:szCs w:val="32"/>
        </w:rPr>
      </w:pPr>
      <w:r>
        <w:rPr>
          <w:rFonts w:ascii="仿宋_GB2312" w:eastAsia="仿宋_GB2312" w:cs="Times New Roman" w:hAnsi="等线" w:hint="eastAsia"/>
          <w:sz w:val="32"/>
          <w:szCs w:val="32"/>
        </w:rPr>
        <w:t>市白蚁防治服务中心应当在接受申报后</w:t>
      </w:r>
      <w:r>
        <w:rPr>
          <w:rFonts w:ascii="仿宋_GB2312" w:eastAsia="仿宋_GB2312" w:cs="Times New Roman" w:hAnsi="等线"/>
          <w:sz w:val="32"/>
          <w:szCs w:val="32"/>
        </w:rPr>
        <w:t>5</w:t>
      </w:r>
      <w:r>
        <w:rPr>
          <w:rFonts w:ascii="仿宋_GB2312" w:eastAsia="仿宋_GB2312" w:cs="Times New Roman" w:hAnsi="等线" w:hint="eastAsia"/>
          <w:sz w:val="32"/>
          <w:szCs w:val="32"/>
        </w:rPr>
        <w:t>个工作日内，登记相关信息并更新名录库。</w:t>
      </w:r>
    </w:p>
    <w:p>
      <w:pPr>
        <w:ind w:firstLineChars="200" w:firstLine="640"/>
        <w:rPr>
          <w:rFonts w:ascii="仿宋_GB2312" w:eastAsia="仿宋_GB2312" w:cs="Times New Roman" w:hAnsi="等线"/>
          <w:sz w:val="32"/>
          <w:szCs w:val="32"/>
        </w:rPr>
      </w:pPr>
      <w:r>
        <w:rPr>
          <w:rFonts w:ascii="仿宋_GB2312" w:eastAsia="仿宋_GB2312" w:cs="Times New Roman" w:hAnsi="等线" w:hint="eastAsia"/>
          <w:sz w:val="32"/>
          <w:szCs w:val="32"/>
        </w:rPr>
        <w:t>因本条第一款第（二）项移出名录库的，自移出之日起满半年后，防治单位可自愿重新申报载入名录库。</w:t>
      </w:r>
    </w:p>
    <w:p>
      <w:pPr>
        <w:ind w:firstLineChars="200" w:firstLine="640"/>
        <w:rPr>
          <w:rFonts w:ascii="仿宋_GB2312" w:eastAsia="仿宋_GB2312" w:cs="Times New Roman" w:hAnsi="等线"/>
          <w:sz w:val="32"/>
          <w:szCs w:val="32"/>
        </w:rPr>
      </w:pPr>
      <w:r>
        <w:rPr>
          <w:rFonts w:ascii="黑体" w:eastAsia="黑体" w:cs="Times New Roman" w:hAnsi="黑体" w:hint="eastAsia"/>
          <w:sz w:val="32"/>
          <w:szCs w:val="32"/>
        </w:rPr>
        <w:t>第十六条</w:t>
      </w:r>
      <w:r>
        <w:rPr>
          <w:rFonts w:ascii="仿宋_GB2312" w:eastAsia="仿宋_GB2312" w:cs="Times New Roman" w:hAnsi="等线"/>
          <w:sz w:val="32"/>
          <w:szCs w:val="32"/>
        </w:rPr>
        <w:t xml:space="preserve"> </w:t>
      </w:r>
      <w:r>
        <w:rPr>
          <w:rFonts w:ascii="仿宋_GB2312" w:eastAsia="仿宋_GB2312" w:cs="Times New Roman" w:hAnsi="等线" w:hint="eastAsia"/>
          <w:sz w:val="32"/>
          <w:szCs w:val="32"/>
        </w:rPr>
        <w:t>防治单位有下列情形之一的，市白蚁防治服务中心应当自检查审核确认后</w:t>
      </w:r>
      <w:r>
        <w:rPr>
          <w:rFonts w:ascii="仿宋_GB2312" w:eastAsia="仿宋_GB2312" w:cs="Times New Roman" w:hAnsi="等线"/>
          <w:sz w:val="32"/>
          <w:szCs w:val="32"/>
        </w:rPr>
        <w:t>5</w:t>
      </w:r>
      <w:r>
        <w:rPr>
          <w:rFonts w:ascii="仿宋_GB2312" w:eastAsia="仿宋_GB2312" w:cs="Times New Roman" w:hAnsi="等线" w:hint="eastAsia"/>
          <w:sz w:val="32"/>
          <w:szCs w:val="32"/>
        </w:rPr>
        <w:t>个工作日内，登记相关信息，删除相应防治单位名录并更新名录库：</w:t>
      </w:r>
      <w:r>
        <w:rPr>
          <w:rFonts w:ascii="仿宋_GB2312" w:eastAsia="仿宋_GB2312" w:cs="Times New Roman" w:hAnsi="等线"/>
          <w:sz w:val="32"/>
          <w:szCs w:val="32"/>
        </w:rPr>
        <w:t xml:space="preserve"> </w:t>
      </w:r>
    </w:p>
    <w:p>
      <w:pPr>
        <w:ind w:firstLineChars="200" w:firstLine="640"/>
        <w:rPr>
          <w:rFonts w:ascii="仿宋_GB2312" w:eastAsia="仿宋_GB2312" w:cs="Times New Roman" w:hAnsi="等线"/>
          <w:sz w:val="32"/>
          <w:szCs w:val="32"/>
        </w:rPr>
      </w:pPr>
      <w:r>
        <w:rPr>
          <w:rFonts w:ascii="仿宋_GB2312" w:eastAsia="仿宋_GB2312" w:cs="Times New Roman" w:hAnsi="等线" w:hint="eastAsia"/>
          <w:sz w:val="32"/>
          <w:szCs w:val="32"/>
        </w:rPr>
        <w:t>（一）经判决构成犯罪的；</w:t>
      </w:r>
    </w:p>
    <w:p>
      <w:pPr>
        <w:ind w:firstLineChars="200" w:firstLine="640"/>
        <w:rPr>
          <w:rFonts w:ascii="仿宋_GB2312" w:eastAsia="仿宋_GB2312" w:cs="Times New Roman" w:hAnsi="等线"/>
          <w:sz w:val="32"/>
          <w:szCs w:val="32"/>
        </w:rPr>
      </w:pPr>
      <w:r>
        <w:rPr>
          <w:rFonts w:ascii="仿宋_GB2312" w:eastAsia="仿宋_GB2312" w:cs="Times New Roman" w:hAnsi="等线" w:hint="eastAsia"/>
          <w:sz w:val="32"/>
          <w:szCs w:val="32"/>
        </w:rPr>
        <w:t>（二）严重失信的；</w:t>
      </w:r>
    </w:p>
    <w:p>
      <w:pPr>
        <w:ind w:firstLineChars="200" w:firstLine="640"/>
        <w:rPr>
          <w:rFonts w:ascii="仿宋_GB2312" w:eastAsia="仿宋_GB2312" w:cs="Times New Roman" w:hAnsi="等线"/>
          <w:sz w:val="32"/>
          <w:szCs w:val="32"/>
        </w:rPr>
      </w:pPr>
      <w:r>
        <w:rPr>
          <w:rFonts w:ascii="仿宋_GB2312" w:eastAsia="仿宋_GB2312" w:cs="Times New Roman" w:hAnsi="等线" w:hint="eastAsia"/>
          <w:sz w:val="32"/>
          <w:szCs w:val="32"/>
        </w:rPr>
        <w:t>（三）因违规作业达到一般生产安全事故等级及以上的，或达到一般环境事件等级及以上的；</w:t>
      </w:r>
    </w:p>
    <w:p>
      <w:pPr>
        <w:ind w:firstLineChars="200" w:firstLine="640"/>
        <w:rPr>
          <w:rFonts w:ascii="仿宋_GB2312" w:eastAsia="仿宋_GB2312" w:cs="Times New Roman" w:hAnsi="等线"/>
          <w:sz w:val="32"/>
          <w:szCs w:val="32"/>
        </w:rPr>
      </w:pPr>
      <w:r>
        <w:rPr>
          <w:rFonts w:ascii="仿宋_GB2312" w:eastAsia="仿宋_GB2312" w:cs="Times New Roman" w:hAnsi="等线" w:hint="eastAsia"/>
          <w:sz w:val="32"/>
          <w:szCs w:val="32"/>
        </w:rPr>
        <w:t>（四）违法违规，侵害他人权益，造成恶劣社会影响的；</w:t>
      </w:r>
    </w:p>
    <w:p>
      <w:pPr>
        <w:ind w:firstLineChars="200" w:firstLine="640"/>
        <w:rPr>
          <w:rFonts w:ascii="仿宋_GB2312" w:eastAsia="仿宋_GB2312" w:cs="Times New Roman" w:hAnsi="等线"/>
          <w:sz w:val="32"/>
          <w:szCs w:val="32"/>
        </w:rPr>
      </w:pPr>
      <w:r>
        <w:rPr>
          <w:rFonts w:ascii="仿宋_GB2312" w:eastAsia="仿宋_GB2312" w:cs="Times New Roman" w:hAnsi="等线" w:hint="eastAsia"/>
          <w:sz w:val="32"/>
          <w:szCs w:val="32"/>
        </w:rPr>
        <w:t>（五）存在其他应当删除情况的。</w:t>
      </w:r>
    </w:p>
    <w:p>
      <w:pPr>
        <w:ind w:firstLineChars="200" w:firstLine="640"/>
        <w:rPr>
          <w:rFonts w:ascii="仿宋_GB2312" w:eastAsia="仿宋_GB2312" w:cs="Times New Roman" w:hAnsi="等线"/>
          <w:sz w:val="32"/>
          <w:szCs w:val="32"/>
        </w:rPr>
      </w:pPr>
      <w:r>
        <w:rPr>
          <w:rFonts w:ascii="仿宋_GB2312" w:eastAsia="仿宋_GB2312" w:cs="Times New Roman" w:hAnsi="等线" w:hint="eastAsia"/>
          <w:sz w:val="32"/>
          <w:szCs w:val="32"/>
        </w:rPr>
        <w:t>发生前款情形，自删除之日起满两年后，防治单位方可自愿重新申报载入名录库。</w:t>
      </w:r>
    </w:p>
    <w:p>
      <w:pPr>
        <w:ind w:firstLineChars="200" w:firstLine="640"/>
        <w:rPr>
          <w:rFonts w:ascii="仿宋_GB2312" w:eastAsia="仿宋_GB2312" w:cs="Times New Roman" w:hAnsi="等线"/>
          <w:sz w:val="32"/>
          <w:szCs w:val="32"/>
        </w:rPr>
      </w:pPr>
    </w:p>
    <w:p>
      <w:pPr>
        <w:jc w:val="center"/>
        <w:rPr>
          <w:rFonts w:ascii="黑体" w:eastAsia="黑体" w:cs="Times New Roman" w:hAnsi="黑体"/>
          <w:sz w:val="32"/>
          <w:szCs w:val="32"/>
        </w:rPr>
      </w:pPr>
      <w:r>
        <w:rPr>
          <w:rFonts w:ascii="黑体" w:eastAsia="黑体" w:cs="Times New Roman" w:hAnsi="黑体" w:hint="eastAsia"/>
          <w:sz w:val="32"/>
          <w:szCs w:val="32"/>
        </w:rPr>
        <w:t>第五章</w:t>
      </w:r>
      <w:r>
        <w:rPr>
          <w:rFonts w:ascii="黑体" w:eastAsia="黑体" w:cs="Times New Roman" w:hAnsi="黑体"/>
          <w:sz w:val="32"/>
          <w:szCs w:val="32"/>
        </w:rPr>
        <w:t xml:space="preserve"> </w:t>
      </w:r>
      <w:r>
        <w:rPr>
          <w:rFonts w:ascii="黑体" w:eastAsia="黑体" w:cs="Times New Roman" w:hAnsi="黑体" w:hint="eastAsia"/>
          <w:sz w:val="32"/>
          <w:szCs w:val="32"/>
        </w:rPr>
        <w:t>附</w:t>
      </w:r>
      <w:r>
        <w:rPr>
          <w:rFonts w:ascii="黑体" w:eastAsia="黑体" w:cs="Times New Roman" w:hAnsi="黑体"/>
          <w:sz w:val="32"/>
          <w:szCs w:val="32"/>
        </w:rPr>
        <w:t xml:space="preserve">  </w:t>
      </w:r>
      <w:r>
        <w:rPr>
          <w:rFonts w:ascii="黑体" w:eastAsia="黑体" w:cs="Times New Roman" w:hAnsi="黑体" w:hint="eastAsia"/>
          <w:sz w:val="32"/>
          <w:szCs w:val="32"/>
        </w:rPr>
        <w:t>则</w:t>
      </w:r>
    </w:p>
    <w:p>
      <w:pPr>
        <w:rPr>
          <w:rFonts w:ascii="仿宋_GB2312" w:eastAsia="仿宋_GB2312" w:cs="Times New Roman" w:hAnsi="等线"/>
          <w:sz w:val="32"/>
          <w:szCs w:val="32"/>
        </w:rPr>
      </w:pPr>
    </w:p>
    <w:p>
      <w:pPr>
        <w:ind w:firstLineChars="200" w:firstLine="640"/>
        <w:rPr>
          <w:rFonts w:ascii="仿宋_GB2312" w:eastAsia="仿宋_GB2312" w:cs="Times New Roman" w:hAnsi="等线"/>
          <w:sz w:val="32"/>
          <w:szCs w:val="32"/>
        </w:rPr>
      </w:pPr>
      <w:r>
        <w:rPr>
          <w:rFonts w:ascii="黑体" w:eastAsia="黑体" w:cs="Times New Roman" w:hAnsi="黑体" w:hint="eastAsia"/>
          <w:sz w:val="32"/>
          <w:szCs w:val="32"/>
        </w:rPr>
        <w:t>第十七条</w:t>
      </w:r>
      <w:r>
        <w:rPr>
          <w:rFonts w:ascii="仿宋_GB2312" w:eastAsia="仿宋_GB2312" w:cs="Times New Roman" w:hAnsi="等线"/>
          <w:sz w:val="32"/>
          <w:szCs w:val="32"/>
        </w:rPr>
        <w:t xml:space="preserve"> </w:t>
      </w:r>
      <w:r>
        <w:rPr>
          <w:rFonts w:ascii="仿宋_GB2312" w:eastAsia="仿宋_GB2312" w:cs="Times New Roman" w:hAnsi="等线" w:hint="eastAsia"/>
          <w:sz w:val="32"/>
          <w:szCs w:val="32"/>
        </w:rPr>
        <w:t>政府组织涉及房屋白蚁防治应急抢险工程，按照双方自愿原则，可通过政府采购等方式在名录库中依法选取防治单位。</w:t>
      </w:r>
    </w:p>
    <w:p>
      <w:pPr>
        <w:ind w:firstLineChars="200" w:firstLine="640"/>
        <w:rPr>
          <w:rFonts w:ascii="仿宋_GB2312" w:eastAsia="仿宋_GB2312" w:cs="Times New Roman" w:hAnsi="等线"/>
          <w:sz w:val="32"/>
          <w:szCs w:val="32"/>
        </w:rPr>
      </w:pPr>
      <w:r>
        <w:rPr>
          <w:rFonts w:ascii="黑体" w:eastAsia="黑体" w:cs="Times New Roman" w:hAnsi="黑体" w:hint="eastAsia"/>
          <w:sz w:val="32"/>
          <w:szCs w:val="32"/>
        </w:rPr>
        <w:t>第十八条</w:t>
      </w:r>
      <w:r>
        <w:rPr>
          <w:rFonts w:ascii="仿宋_GB2312" w:eastAsia="仿宋_GB2312" w:cs="Times New Roman" w:hAnsi="等线"/>
          <w:sz w:val="32"/>
          <w:szCs w:val="32"/>
        </w:rPr>
        <w:t xml:space="preserve"> </w:t>
      </w:r>
      <w:r>
        <w:rPr>
          <w:rFonts w:ascii="仿宋_GB2312" w:eastAsia="仿宋_GB2312" w:cs="Times New Roman" w:hAnsi="等线" w:hint="eastAsia"/>
          <w:sz w:val="32"/>
          <w:szCs w:val="32"/>
        </w:rPr>
        <w:t>涉及房屋白蚁防治的服务对象提出名录服务要求的，可以依法提供社会公共服务。</w:t>
      </w:r>
    </w:p>
    <w:p>
      <w:pPr>
        <w:ind w:firstLineChars="200" w:firstLine="640"/>
        <w:rPr>
          <w:rFonts w:ascii="仿宋_GB2312" w:eastAsia="仿宋_GB2312" w:cs="Times New Roman" w:hAnsi="等线"/>
          <w:sz w:val="32"/>
          <w:szCs w:val="32"/>
        </w:rPr>
      </w:pPr>
      <w:r>
        <w:rPr>
          <w:rFonts w:ascii="黑体" w:eastAsia="黑体" w:cs="Times New Roman" w:hAnsi="黑体" w:hint="eastAsia"/>
          <w:sz w:val="32"/>
          <w:szCs w:val="32"/>
        </w:rPr>
        <w:t>第十九条</w:t>
      </w:r>
      <w:r>
        <w:rPr>
          <w:rFonts w:ascii="仿宋_GB2312" w:eastAsia="仿宋_GB2312" w:cs="Times New Roman" w:hAnsi="等线"/>
          <w:sz w:val="32"/>
          <w:szCs w:val="32"/>
        </w:rPr>
        <w:t xml:space="preserve"> </w:t>
      </w:r>
      <w:r>
        <w:rPr>
          <w:rFonts w:ascii="仿宋_GB2312" w:eastAsia="仿宋_GB2312" w:cs="Times New Roman" w:hAnsi="等线" w:hint="eastAsia"/>
          <w:sz w:val="32"/>
          <w:szCs w:val="32"/>
        </w:rPr>
        <w:t>本办法自</w:t>
      </w:r>
      <w:r>
        <w:rPr>
          <w:rFonts w:ascii="仿宋_GB2312" w:eastAsia="仿宋_GB2312" w:cs="Times New Roman" w:hAnsi="等线"/>
          <w:sz w:val="32"/>
          <w:szCs w:val="32"/>
        </w:rPr>
        <w:t>2019</w:t>
      </w:r>
      <w:r>
        <w:rPr>
          <w:rFonts w:ascii="仿宋_GB2312" w:eastAsia="仿宋_GB2312" w:cs="Times New Roman" w:hAnsi="等线" w:hint="eastAsia"/>
          <w:sz w:val="32"/>
          <w:szCs w:val="32"/>
        </w:rPr>
        <w:t>年</w:t>
      </w:r>
      <w:r>
        <w:rPr>
          <w:rFonts w:ascii="仿宋_GB2312" w:eastAsia="仿宋_GB2312" w:cs="Times New Roman" w:hAnsi="等线"/>
          <w:sz w:val="32"/>
          <w:szCs w:val="32"/>
        </w:rPr>
        <w:t>1</w:t>
      </w:r>
      <w:r>
        <w:rPr>
          <w:rFonts w:ascii="仿宋_GB2312" w:eastAsia="仿宋_GB2312" w:cs="Times New Roman" w:hAnsi="等线" w:hint="eastAsia"/>
          <w:sz w:val="32"/>
          <w:szCs w:val="32"/>
        </w:rPr>
        <w:t>月</w:t>
      </w:r>
      <w:r>
        <w:rPr>
          <w:rFonts w:ascii="仿宋_GB2312" w:eastAsia="仿宋_GB2312" w:cs="Times New Roman" w:hAnsi="等线"/>
          <w:sz w:val="32"/>
          <w:szCs w:val="32"/>
        </w:rPr>
        <w:t>1</w:t>
      </w:r>
      <w:r>
        <w:rPr>
          <w:rFonts w:ascii="仿宋_GB2312" w:eastAsia="仿宋_GB2312" w:cs="Times New Roman" w:hAnsi="等线" w:hint="eastAsia"/>
          <w:sz w:val="32"/>
          <w:szCs w:val="32"/>
        </w:rPr>
        <w:t>日起施行，有效期至202</w:t>
      </w:r>
      <w:r>
        <w:rPr>
          <w:rFonts w:ascii="仿宋_GB2312" w:eastAsia="仿宋_GB2312" w:cs="Times New Roman" w:hAnsi="等线"/>
          <w:sz w:val="32"/>
          <w:szCs w:val="32"/>
        </w:rPr>
        <w:t>8</w:t>
      </w:r>
      <w:r>
        <w:rPr>
          <w:rFonts w:ascii="仿宋_GB2312" w:eastAsia="仿宋_GB2312" w:cs="Times New Roman" w:hAnsi="等线" w:hint="eastAsia"/>
          <w:sz w:val="32"/>
          <w:szCs w:val="32"/>
        </w:rPr>
        <w:t>年</w:t>
      </w:r>
      <w:r>
        <w:rPr>
          <w:rFonts w:ascii="仿宋_GB2312" w:eastAsia="仿宋_GB2312" w:cs="Times New Roman" w:hAnsi="等线"/>
          <w:sz w:val="32"/>
          <w:szCs w:val="32"/>
        </w:rPr>
        <w:t>8</w:t>
      </w:r>
      <w:r>
        <w:rPr>
          <w:rFonts w:ascii="仿宋_GB2312" w:eastAsia="仿宋_GB2312" w:cs="Times New Roman" w:hAnsi="等线" w:hint="eastAsia"/>
          <w:sz w:val="32"/>
          <w:szCs w:val="32"/>
        </w:rPr>
        <w:t>月</w:t>
      </w:r>
      <w:r>
        <w:rPr>
          <w:rFonts w:ascii="仿宋_GB2312" w:eastAsia="仿宋_GB2312" w:cs="Times New Roman" w:hAnsi="等线"/>
          <w:sz w:val="32"/>
          <w:szCs w:val="32"/>
        </w:rPr>
        <w:t>24</w:t>
      </w:r>
      <w:r>
        <w:rPr>
          <w:rFonts w:ascii="仿宋_GB2312" w:eastAsia="仿宋_GB2312" w:cs="Times New Roman" w:hAnsi="等线" w:hint="eastAsia"/>
          <w:sz w:val="32"/>
          <w:szCs w:val="32"/>
        </w:rPr>
        <w:t>日止。</w:t>
      </w:r>
    </w:p>
    <w:p>
      <w:pPr>
        <w:rPr>
          <w:rFonts w:ascii="等线" w:eastAsia="等线" w:cs="Times New Roman" w:hAnsi="等线"/>
          <w:szCs w:val="32"/>
        </w:rPr>
      </w:pPr>
    </w:p>
    <w:p>
      <w:pPr>
        <w:widowControl/>
        <w:jc w:val="left"/>
        <w:rPr>
          <w:rFonts w:ascii="黑体" w:eastAsia="黑体" w:cs="Times New Roman" w:hAnsi="黑体"/>
        </w:rPr>
      </w:pPr>
    </w:p>
    <w:p>
      <w:pPr>
        <w:rPr>
          <w:szCs w:val="32"/>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widowControl/>
        <w:jc w:val="left"/>
        <w:rPr>
          <w:rFonts w:ascii="黑体" w:eastAsia="黑体" w:hAnsi="黑体"/>
        </w:rPr>
      </w:pPr>
      <w:r>
        <w:rPr>
          <w:rFonts w:ascii="黑体" w:eastAsia="黑体" w:hAnsi="黑体"/>
        </w:rPr>
        <w:br w:type="page"/>
      </w:r>
    </w:p>
    <w:p>
      <w:pPr>
        <w:snapToGrid w:val="0"/>
        <w:spacing w:line="560" w:lineRule="exact"/>
        <w:jc w:val="center"/>
        <w:rPr>
          <w:rFonts w:ascii="方正小标宋简体" w:eastAsia="方正小标宋简体" w:cs="方正小标宋简体" w:hAnsi="方正小标宋简体"/>
          <w:sz w:val="44"/>
          <w:szCs w:val="44"/>
        </w:rPr>
      </w:pPr>
      <w:r>
        <w:rPr>
          <w:rFonts w:ascii="方正小标宋简体" w:eastAsia="方正小标宋简体" w:cs="方正小标宋简体" w:hAnsi="方正小标宋简体" w:hint="eastAsia"/>
          <w:sz w:val="44"/>
          <w:szCs w:val="44"/>
        </w:rPr>
        <w:t>关于印发《南京市房屋安全鉴定单位</w:t>
      </w:r>
    </w:p>
    <w:p>
      <w:pPr>
        <w:snapToGrid w:val="0"/>
        <w:spacing w:line="560" w:lineRule="exact"/>
        <w:jc w:val="center"/>
        <w:rPr>
          <w:rFonts w:ascii="方正小标宋简体" w:eastAsia="方正小标宋简体" w:cs="方正小标宋简体" w:hAnsi="方正小标宋简体"/>
          <w:sz w:val="44"/>
          <w:szCs w:val="44"/>
        </w:rPr>
      </w:pPr>
      <w:r>
        <w:rPr>
          <w:rFonts w:ascii="方正小标宋简体" w:eastAsia="方正小标宋简体" w:cs="方正小标宋简体" w:hAnsi="方正小标宋简体" w:hint="eastAsia"/>
          <w:sz w:val="44"/>
          <w:szCs w:val="44"/>
        </w:rPr>
        <w:t>管理办法》的通知</w:t>
      </w:r>
    </w:p>
    <w:p>
      <w:pPr>
        <w:jc w:val="center"/>
        <w:rPr>
          <w:rFonts w:ascii="仿宋_GB2312" w:eastAsia="仿宋_GB2312" w:cs="仿宋_GB2312" w:hAnsi="仿宋_GB2312" w:hint="eastAsia"/>
          <w:sz w:val="32"/>
          <w:szCs w:val="32"/>
        </w:rPr>
      </w:pPr>
      <w:r>
        <w:rPr>
          <w:rFonts w:ascii="仿宋_GB2312" w:eastAsia="仿宋_GB2312" w:cs="仿宋_GB2312" w:hAnsi="仿宋_GB2312" w:hint="eastAsia"/>
          <w:sz w:val="32"/>
          <w:szCs w:val="32"/>
        </w:rPr>
        <w:t>宁房规字〔2018〕3号</w:t>
      </w:r>
    </w:p>
    <w:p>
      <w:pPr>
        <w:snapToGrid w:val="0"/>
        <w:spacing w:line="560" w:lineRule="exact"/>
        <w:rPr>
          <w:rFonts w:ascii="仿宋_GB2312" w:eastAsia="仿宋_GB2312" w:cs="仿宋_GB2312" w:hAnsi="仿宋_GB2312"/>
          <w:sz w:val="32"/>
          <w:szCs w:val="32"/>
        </w:rPr>
      </w:pPr>
    </w:p>
    <w:p>
      <w:pPr>
        <w:snapToGrid w:val="0"/>
        <w:spacing w:line="560" w:lineRule="exact"/>
        <w:rPr>
          <w:rFonts w:ascii="仿宋_GB2312" w:eastAsia="仿宋_GB2312" w:cs="仿宋_GB2312" w:hAnsi="仿宋_GB2312"/>
          <w:sz w:val="32"/>
          <w:szCs w:val="32"/>
        </w:rPr>
      </w:pPr>
      <w:r>
        <w:rPr>
          <w:rFonts w:ascii="仿宋_GB2312" w:eastAsia="仿宋_GB2312" w:cs="仿宋_GB2312" w:hAnsi="仿宋_GB2312" w:hint="eastAsia"/>
          <w:sz w:val="32"/>
          <w:szCs w:val="32"/>
        </w:rPr>
        <w:t>各有关单位：</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Calibri" w:hint="eastAsia"/>
          <w:sz w:val="32"/>
          <w:szCs w:val="32"/>
        </w:rPr>
        <w:t>为进一步贯彻落实《南京市房屋使用安全管理条例》，</w:t>
      </w:r>
      <w:r>
        <w:rPr>
          <w:rFonts w:ascii="仿宋_GB2312" w:eastAsia="仿宋_GB2312" w:cs="仿宋_GB2312" w:hAnsi="仿宋_GB2312" w:hint="eastAsia"/>
          <w:sz w:val="32"/>
          <w:szCs w:val="32"/>
        </w:rPr>
        <w:t>规范房屋安全鉴定活动，健全房屋安全鉴定市场机制，加强房屋安全鉴定监督管理，促进房屋安全鉴定行业健康有序发展，现将《南京市房屋安全鉴定单位管理办法》印发给你们，请认真贯彻执行。</w:t>
      </w:r>
    </w:p>
    <w:p>
      <w:pPr>
        <w:snapToGrid w:val="0"/>
        <w:spacing w:line="560" w:lineRule="exact"/>
        <w:rPr>
          <w:rFonts w:ascii="仿宋_GB2312" w:eastAsia="仿宋_GB2312" w:cs="仿宋_GB2312" w:hAnsi="仿宋_GB2312"/>
          <w:sz w:val="32"/>
          <w:szCs w:val="32"/>
        </w:rPr>
      </w:pPr>
    </w:p>
    <w:p>
      <w:pPr>
        <w:snapToGrid w:val="0"/>
        <w:spacing w:line="560" w:lineRule="exact"/>
        <w:rPr>
          <w:rFonts w:ascii="仿宋_GB2312" w:eastAsia="仿宋_GB2312" w:cs="仿宋_GB2312" w:hAnsi="仿宋_GB2312"/>
          <w:sz w:val="32"/>
          <w:szCs w:val="32"/>
        </w:rPr>
      </w:pPr>
      <w:r>
        <w:rPr>
          <w:rFonts w:ascii="仿宋_GB2312" w:eastAsia="仿宋_GB2312" w:cs="仿宋_GB2312" w:hAnsi="仿宋_GB2312" w:hint="eastAsia"/>
          <w:sz w:val="32"/>
          <w:szCs w:val="32"/>
        </w:rPr>
        <w:t xml:space="preserve">   </w:t>
      </w:r>
    </w:p>
    <w:p>
      <w:pPr>
        <w:spacing w:line="0" w:lineRule="atLeast"/>
        <w:rPr>
          <w:rFonts w:ascii="等线" w:eastAsia="仿宋_GB2312" w:cs="Times New Roman" w:hAnsi="等线"/>
        </w:rPr>
      </w:pPr>
    </w:p>
    <w:p>
      <w:pPr>
        <w:spacing w:line="0" w:lineRule="atLeast"/>
        <w:ind w:right="-74"/>
        <w:rPr>
          <w:rFonts w:ascii="Times Roman" w:eastAsia="仿宋_GB2312" w:cs="Times New Roman" w:hAnsi="Times Roman"/>
          <w:sz w:val="32"/>
          <w:szCs w:val="32"/>
        </w:rPr>
      </w:pPr>
      <w:r>
        <w:rPr>
          <w:rFonts w:ascii="Times Roman" w:eastAsia="仿宋_GB2312" w:cs="Times New Roman" w:hAnsi="等线" w:hint="eastAsia"/>
          <w:sz w:val="32"/>
          <w:szCs w:val="32"/>
        </w:rPr>
        <w:t>　　　　　　　　　　　　</w:t>
      </w:r>
      <w:r>
        <w:rPr>
          <w:rFonts w:ascii="Times Roman" w:eastAsia="仿宋_GB2312" w:cs="Times New Roman" w:hAnsi="Times Roman"/>
          <w:sz w:val="32"/>
          <w:szCs w:val="32"/>
        </w:rPr>
        <w:t xml:space="preserve">   </w:t>
      </w:r>
      <w:r>
        <w:rPr>
          <w:rFonts w:ascii="Times Roman" w:eastAsia="仿宋_GB2312" w:cs="Times New Roman" w:hAnsi="等线" w:hint="eastAsia"/>
          <w:sz w:val="32"/>
          <w:szCs w:val="32"/>
        </w:rPr>
        <w:t>　南京市住房保障和房产局</w:t>
      </w:r>
    </w:p>
    <w:p>
      <w:pPr>
        <w:spacing w:line="0" w:lineRule="atLeast"/>
        <w:ind w:firstLineChars="1631" w:firstLine="5219"/>
        <w:rPr>
          <w:rFonts w:ascii="Times Roman" w:eastAsia="仿宋_GB2312" w:cs="Times New Roman" w:hAnsi="Times Roman"/>
          <w:sz w:val="32"/>
          <w:szCs w:val="32"/>
        </w:rPr>
      </w:pPr>
      <w:r>
        <w:rPr>
          <w:rFonts w:ascii="Times Roman" w:eastAsia="仿宋_GB2312" w:cs="Times New Roman" w:hAnsi="Times Roman"/>
          <w:sz w:val="32"/>
          <w:szCs w:val="32"/>
        </w:rPr>
        <w:t>2018</w:t>
      </w:r>
      <w:r>
        <w:rPr>
          <w:rFonts w:ascii="Times Roman" w:eastAsia="仿宋_GB2312" w:cs="Times New Roman" w:hAnsi="等线" w:hint="eastAsia"/>
          <w:sz w:val="32"/>
          <w:szCs w:val="32"/>
        </w:rPr>
        <w:t>年12月24日</w:t>
      </w:r>
    </w:p>
    <w:p>
      <w:pPr>
        <w:rPr>
          <w:rFonts w:ascii="黑体" w:eastAsia="黑体" w:cs="Times New Roman" w:hAnsi="黑体"/>
        </w:rPr>
      </w:pPr>
      <w:r>
        <w:rPr>
          <w:rFonts w:ascii="黑体" w:eastAsia="黑体" w:cs="Times New Roman" w:hAnsi="黑体"/>
        </w:rPr>
        <w:br w:type="page"/>
      </w:r>
    </w:p>
    <w:p>
      <w:pPr>
        <w:snapToGrid w:val="0"/>
        <w:spacing w:line="560" w:lineRule="exact"/>
        <w:jc w:val="center"/>
        <w:rPr>
          <w:rFonts w:ascii="楷体" w:eastAsia="楷体" w:cs="楷体" w:hAnsi="楷体"/>
          <w:sz w:val="32"/>
          <w:szCs w:val="32"/>
        </w:rPr>
      </w:pPr>
      <w:r>
        <w:rPr>
          <w:rFonts w:ascii="方正小标宋简体" w:eastAsia="方正小标宋简体" w:cs="方正小标宋简体" w:hAnsi="方正小标宋简体" w:hint="eastAsia"/>
          <w:sz w:val="44"/>
          <w:szCs w:val="44"/>
        </w:rPr>
        <w:t>南京市房屋安全鉴定单位管理办法</w:t>
      </w:r>
    </w:p>
    <w:p>
      <w:pPr>
        <w:snapToGrid w:val="0"/>
        <w:spacing w:line="560" w:lineRule="exact"/>
        <w:jc w:val="center"/>
        <w:rPr>
          <w:rFonts w:ascii="楷体" w:eastAsia="楷体" w:cs="楷体" w:hAnsi="楷体"/>
          <w:sz w:val="32"/>
          <w:szCs w:val="32"/>
        </w:rPr>
      </w:pPr>
    </w:p>
    <w:p>
      <w:pPr>
        <w:snapToGrid w:val="0"/>
        <w:spacing w:line="560" w:lineRule="exact"/>
        <w:jc w:val="center"/>
        <w:rPr>
          <w:rFonts w:ascii="黑体" w:eastAsia="黑体" w:cs="黑体" w:hAnsi="黑体"/>
          <w:sz w:val="32"/>
          <w:szCs w:val="32"/>
        </w:rPr>
      </w:pPr>
      <w:r>
        <w:rPr>
          <w:rFonts w:ascii="黑体" w:eastAsia="黑体" w:cs="黑体" w:hAnsi="黑体" w:hint="eastAsia"/>
          <w:sz w:val="32"/>
          <w:szCs w:val="32"/>
        </w:rPr>
        <w:t>第一章 总 则</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b/>
          <w:bCs/>
          <w:sz w:val="32"/>
          <w:szCs w:val="32"/>
        </w:rPr>
        <w:t>第一条</w:t>
      </w:r>
      <w:r>
        <w:rPr>
          <w:rFonts w:ascii="仿宋_GB2312" w:eastAsia="仿宋_GB2312" w:cs="仿宋_GB2312" w:hAnsi="仿宋_GB2312" w:hint="eastAsia"/>
          <w:sz w:val="32"/>
          <w:szCs w:val="32"/>
        </w:rPr>
        <w:t xml:space="preserve"> 为了规范房屋安全鉴定活动，健全房屋安全鉴定市场机制，加强房屋安全鉴定监督管理，促进房屋安全鉴定行业健康有序发展，根据《城市危险房屋管理规定》（建设部令第129号）、《南京市房屋使用安全管理条例》，结合我市实际，制定本办法。 </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b/>
          <w:bCs/>
          <w:sz w:val="32"/>
          <w:szCs w:val="32"/>
        </w:rPr>
        <w:t>第二条</w:t>
      </w:r>
      <w:r>
        <w:rPr>
          <w:rFonts w:ascii="仿宋_GB2312" w:eastAsia="仿宋_GB2312" w:cs="仿宋_GB2312" w:hAnsi="仿宋_GB2312" w:hint="eastAsia"/>
          <w:sz w:val="32"/>
          <w:szCs w:val="32"/>
        </w:rPr>
        <w:t xml:space="preserve"> 本办法适用于本市行政区域内的房屋安全鉴定活动。</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本办法所称房屋安全鉴定，是指依据国家、省和市有关法律、法规以及技术标准、规范等，对房屋使用安全状况通过检测进行评估、鉴别和判定的活动，包括危险性鉴定、可靠性鉴定及专项鉴定。</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b/>
          <w:bCs/>
          <w:sz w:val="32"/>
          <w:szCs w:val="32"/>
        </w:rPr>
        <w:t xml:space="preserve">第三条 </w:t>
      </w:r>
      <w:r>
        <w:rPr>
          <w:rFonts w:ascii="仿宋_GB2312" w:eastAsia="仿宋_GB2312" w:cs="仿宋_GB2312" w:hAnsi="仿宋_GB2312" w:hint="eastAsia"/>
          <w:sz w:val="32"/>
          <w:szCs w:val="32"/>
        </w:rPr>
        <w:t>市房屋安全行政主管部门应当设立房屋安全鉴定机构，负责城市房屋的危险性鉴定，执行《危险房屋鉴定标准》（JGJ125）。</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b/>
          <w:bCs/>
          <w:sz w:val="32"/>
          <w:szCs w:val="32"/>
        </w:rPr>
        <w:t>第四条</w:t>
      </w:r>
      <w:r>
        <w:rPr>
          <w:rFonts w:ascii="仿宋_GB2312" w:eastAsia="仿宋_GB2312" w:cs="仿宋_GB2312" w:hAnsi="仿宋_GB2312" w:hint="eastAsia"/>
          <w:sz w:val="32"/>
          <w:szCs w:val="32"/>
        </w:rPr>
        <w:t xml:space="preserve"> 市房屋安全行政主管部门负责全市房屋安全鉴定监督管理，建立房屋使用安全信息管理平台和鉴定单位名录库等。日常工作由南京市房屋安全服务中心实施。</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区房屋安全行政主管部门协助做好本辖区内房屋安全鉴定监督管理工作。</w:t>
      </w:r>
    </w:p>
    <w:p>
      <w:pPr>
        <w:snapToGrid w:val="0"/>
        <w:spacing w:line="560" w:lineRule="exact"/>
        <w:jc w:val="center"/>
        <w:rPr>
          <w:rFonts w:ascii="黑体" w:eastAsia="黑体" w:cs="黑体" w:hAnsi="黑体"/>
          <w:sz w:val="32"/>
          <w:szCs w:val="32"/>
        </w:rPr>
      </w:pPr>
      <w:r>
        <w:rPr>
          <w:rFonts w:ascii="黑体" w:eastAsia="黑体" w:cs="黑体" w:hAnsi="黑体" w:hint="eastAsia"/>
          <w:sz w:val="32"/>
          <w:szCs w:val="32"/>
        </w:rPr>
        <w:t>第二章 房屋安全鉴定单位备案</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b/>
          <w:bCs/>
          <w:sz w:val="32"/>
          <w:szCs w:val="32"/>
        </w:rPr>
        <w:t>第五条</w:t>
      </w:r>
      <w:r>
        <w:rPr>
          <w:rFonts w:ascii="仿宋_GB2312" w:eastAsia="仿宋_GB2312" w:cs="仿宋_GB2312" w:hAnsi="仿宋_GB2312" w:hint="eastAsia"/>
          <w:sz w:val="32"/>
          <w:szCs w:val="32"/>
        </w:rPr>
        <w:t xml:space="preserve"> 房屋安全鉴定单位申请备案应当同时具备下列条件：</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（一）具有独立法人资格；</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（二）具有《建设工程质量管理条例》、《建设工程质量检测管理办法》规定的建设工程主体结构检测专项资质；</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三）建筑工程相关专业大专及以上学历的鉴定人员不少于10人，其中中级及以上职称人员不少于4名，技术负责人应当为一级注册结构工程师或具备相应结构分析能力的高级工程师，且从事房屋安全鉴定及相关工作达5年以上；</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（四）具备开展房屋安全鉴定工作所必需的结构计算软件；</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（五）法律、法规规定的其他条件。</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b/>
          <w:bCs/>
          <w:sz w:val="32"/>
          <w:szCs w:val="32"/>
        </w:rPr>
        <w:t>第六条</w:t>
      </w:r>
      <w:r>
        <w:rPr>
          <w:rFonts w:ascii="仿宋_GB2312" w:eastAsia="仿宋_GB2312" w:cs="仿宋_GB2312" w:hAnsi="仿宋_GB2312" w:hint="eastAsia"/>
          <w:sz w:val="32"/>
          <w:szCs w:val="32"/>
        </w:rPr>
        <w:t xml:space="preserve"> 房屋安全鉴定单位申请备案应当填报《南京市房屋安全鉴定备案申请书》和《南京市房屋安全鉴定诚信承诺书》。</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b/>
          <w:bCs/>
          <w:sz w:val="32"/>
          <w:szCs w:val="32"/>
        </w:rPr>
        <w:t>第七条</w:t>
      </w:r>
      <w:r>
        <w:rPr>
          <w:rFonts w:ascii="仿宋_GB2312" w:eastAsia="仿宋_GB2312" w:cs="仿宋_GB2312" w:hAnsi="仿宋_GB2312" w:hint="eastAsia"/>
          <w:sz w:val="32"/>
          <w:szCs w:val="32"/>
        </w:rPr>
        <w:t xml:space="preserve"> 市房屋安全行政主管部门应自受理备案材料后，3个工作日内书面告知房屋安全鉴定单位备案结果。</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b/>
          <w:bCs/>
          <w:sz w:val="32"/>
          <w:szCs w:val="32"/>
        </w:rPr>
        <w:t>第八条</w:t>
      </w:r>
      <w:r>
        <w:rPr>
          <w:rFonts w:ascii="仿宋_GB2312" w:eastAsia="仿宋_GB2312" w:cs="仿宋_GB2312" w:hAnsi="仿宋_GB2312" w:hint="eastAsia"/>
          <w:sz w:val="32"/>
          <w:szCs w:val="32"/>
        </w:rPr>
        <w:t xml:space="preserve"> 已备案的房屋安全鉴定单位停业、转业，变更名称、经营场所、企业资质、法定代表人、技术负责人的，应在20个工作日内办理备案取消、变更手续。</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b/>
          <w:bCs/>
          <w:sz w:val="32"/>
          <w:szCs w:val="32"/>
        </w:rPr>
        <w:t>第九条</w:t>
      </w:r>
      <w:r>
        <w:rPr>
          <w:rFonts w:ascii="仿宋_GB2312" w:eastAsia="仿宋_GB2312" w:cs="仿宋_GB2312" w:hAnsi="仿宋_GB2312" w:hint="eastAsia"/>
          <w:sz w:val="32"/>
          <w:szCs w:val="32"/>
        </w:rPr>
        <w:t xml:space="preserve"> 市房屋安全行政主管部门向已备案的房屋安全鉴定单位开放房屋使用安全信息管理平台的使用权限。</w:t>
      </w:r>
    </w:p>
    <w:p>
      <w:pPr>
        <w:snapToGrid w:val="0"/>
        <w:spacing w:line="560" w:lineRule="exact"/>
        <w:jc w:val="center"/>
        <w:rPr>
          <w:rFonts w:ascii="黑体" w:eastAsia="黑体" w:cs="黑体" w:hAnsi="黑体"/>
          <w:sz w:val="32"/>
          <w:szCs w:val="32"/>
        </w:rPr>
      </w:pPr>
    </w:p>
    <w:p>
      <w:pPr>
        <w:snapToGrid w:val="0"/>
        <w:spacing w:line="560" w:lineRule="exact"/>
        <w:jc w:val="center"/>
        <w:rPr>
          <w:rFonts w:ascii="黑体" w:eastAsia="黑体" w:cs="黑体" w:hAnsi="黑体"/>
          <w:sz w:val="32"/>
          <w:szCs w:val="32"/>
        </w:rPr>
      </w:pPr>
      <w:r>
        <w:rPr>
          <w:rFonts w:ascii="黑体" w:eastAsia="黑体" w:cs="黑体" w:hAnsi="黑体" w:hint="eastAsia"/>
          <w:sz w:val="32"/>
          <w:szCs w:val="32"/>
        </w:rPr>
        <w:t>第三章 房屋安全鉴定单位名录库</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b/>
          <w:bCs/>
          <w:sz w:val="32"/>
          <w:szCs w:val="32"/>
        </w:rPr>
        <w:t>第十条</w:t>
      </w:r>
      <w:r>
        <w:rPr>
          <w:rFonts w:ascii="仿宋_GB2312" w:eastAsia="仿宋_GB2312" w:cs="仿宋_GB2312" w:hAnsi="仿宋_GB2312" w:hint="eastAsia"/>
          <w:sz w:val="32"/>
          <w:szCs w:val="32"/>
        </w:rPr>
        <w:t xml:space="preserve"> 市房屋安全行政主管部门对已备案的鉴定单位纳入房屋安全鉴定单位名录库，实行动态管理，及时更新向社会公开。</w:t>
      </w:r>
    </w:p>
    <w:p>
      <w:pPr>
        <w:snapToGrid w:val="0"/>
        <w:spacing w:line="560" w:lineRule="exact"/>
        <w:jc w:val="center"/>
        <w:rPr>
          <w:rFonts w:ascii="黑体" w:eastAsia="黑体" w:cs="黑体" w:hAnsi="黑体"/>
          <w:sz w:val="32"/>
          <w:szCs w:val="32"/>
        </w:rPr>
      </w:pPr>
      <w:r>
        <w:rPr>
          <w:rFonts w:ascii="黑体" w:eastAsia="黑体" w:cs="黑体" w:hAnsi="黑体" w:hint="eastAsia"/>
          <w:sz w:val="32"/>
          <w:szCs w:val="32"/>
        </w:rPr>
        <w:t>第四章 房屋安全鉴定行为</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b/>
          <w:bCs/>
          <w:sz w:val="32"/>
          <w:szCs w:val="32"/>
        </w:rPr>
        <w:t>第十</w:t>
      </w:r>
      <w:r>
        <w:rPr>
          <w:rFonts w:ascii="仿宋_GB2312" w:eastAsia="仿宋_GB2312" w:cs="仿宋_GB2312" w:hAnsi="仿宋_GB2312" w:hint="eastAsia"/>
          <w:b/>
          <w:bCs/>
          <w:sz w:val="32"/>
          <w:szCs w:val="32"/>
          <w:lang w:val="en-US" w:eastAsia="zh-CN"/>
        </w:rPr>
        <w:t>一</w:t>
      </w:r>
      <w:r>
        <w:rPr>
          <w:rFonts w:ascii="仿宋_GB2312" w:eastAsia="仿宋_GB2312" w:cs="仿宋_GB2312" w:hAnsi="仿宋_GB2312" w:hint="eastAsia"/>
          <w:b/>
          <w:bCs/>
          <w:sz w:val="32"/>
          <w:szCs w:val="32"/>
        </w:rPr>
        <w:t>条</w:t>
      </w:r>
      <w:r>
        <w:rPr>
          <w:rFonts w:ascii="仿宋_GB2312" w:eastAsia="仿宋_GB2312" w:cs="仿宋_GB2312" w:hAnsi="仿宋_GB2312" w:hint="eastAsia"/>
          <w:sz w:val="32"/>
          <w:szCs w:val="32"/>
        </w:rPr>
        <w:t xml:space="preserve"> 房屋安全鉴定单位应当按照《南京市房屋使用安全管理条例》以及相关法律法规、规范性文件的规定，开展房屋安全鉴定活动，并可通过房屋使用安全信息管理平台实时报送鉴定合同、报告及相关资料。</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b/>
          <w:bCs/>
          <w:sz w:val="32"/>
          <w:szCs w:val="32"/>
        </w:rPr>
        <w:t>第十</w:t>
      </w:r>
      <w:r>
        <w:rPr>
          <w:rFonts w:ascii="仿宋_GB2312" w:eastAsia="仿宋_GB2312" w:cs="仿宋_GB2312" w:hAnsi="仿宋_GB2312" w:hint="eastAsia"/>
          <w:b/>
          <w:bCs/>
          <w:sz w:val="32"/>
          <w:szCs w:val="32"/>
          <w:lang w:val="en-US" w:eastAsia="zh-CN"/>
        </w:rPr>
        <w:t>二</w:t>
      </w:r>
      <w:r>
        <w:rPr>
          <w:rFonts w:ascii="仿宋_GB2312" w:eastAsia="仿宋_GB2312" w:cs="仿宋_GB2312" w:hAnsi="仿宋_GB2312" w:hint="eastAsia"/>
          <w:b/>
          <w:bCs/>
          <w:sz w:val="32"/>
          <w:szCs w:val="32"/>
        </w:rPr>
        <w:t>条</w:t>
      </w:r>
      <w:r>
        <w:rPr>
          <w:rFonts w:ascii="仿宋_GB2312" w:eastAsia="仿宋_GB2312" w:cs="仿宋_GB2312" w:hAnsi="仿宋_GB2312" w:hint="eastAsia"/>
          <w:sz w:val="32"/>
          <w:szCs w:val="32"/>
        </w:rPr>
        <w:t xml:space="preserve"> 房屋安全鉴定单位开展房屋安全鉴定工作，应当符合下列要求：</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（一）与委托人签订鉴定合同，并按照合同约定开展工作；</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（二）现场鉴定工作应当安排两名以上鉴定人员参加，其中至少一名鉴定人员应当为注册结构工程师或建筑工程相关专业中级及以上工程师，且从事房屋安全鉴定及相关工作达2年以上；</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（三）出具的鉴定报告，应当按《江苏省既有房屋鉴定标准》中的规定进行三级审核，加盖鉴定专用章；房屋安全鉴定单位及相关负责人对出具的鉴定报告承担法律责任；</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（四）建立鉴定项目档案，专人负责长期保管，保证房屋安全鉴定检测数据、原始资料的可追溯性；</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（五）配合房屋安全行政主管部门检查、行政执法。</w:t>
      </w:r>
    </w:p>
    <w:p>
      <w:pPr>
        <w:snapToGrid w:val="0"/>
        <w:spacing w:line="560" w:lineRule="exact"/>
        <w:jc w:val="center"/>
        <w:rPr>
          <w:rFonts w:ascii="黑体" w:eastAsia="黑体" w:cs="黑体" w:hAnsi="黑体"/>
          <w:sz w:val="32"/>
          <w:szCs w:val="32"/>
        </w:rPr>
      </w:pPr>
      <w:r>
        <w:rPr>
          <w:rFonts w:ascii="黑体" w:eastAsia="黑体" w:cs="黑体" w:hAnsi="黑体" w:hint="eastAsia"/>
          <w:sz w:val="32"/>
          <w:szCs w:val="32"/>
        </w:rPr>
        <w:t>第</w:t>
      </w:r>
      <w:r>
        <w:rPr>
          <w:rFonts w:ascii="黑体" w:eastAsia="黑体" w:cs="黑体" w:hAnsi="黑体" w:hint="eastAsia"/>
          <w:sz w:val="32"/>
          <w:szCs w:val="32"/>
          <w:lang w:val="en-US" w:eastAsia="zh-CN"/>
        </w:rPr>
        <w:t>五</w:t>
      </w:r>
      <w:r>
        <w:rPr>
          <w:rFonts w:ascii="黑体" w:eastAsia="黑体" w:cs="黑体" w:hAnsi="黑体" w:hint="eastAsia"/>
          <w:sz w:val="32"/>
          <w:szCs w:val="32"/>
        </w:rPr>
        <w:t>章 附则</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b/>
          <w:bCs/>
          <w:sz w:val="32"/>
          <w:szCs w:val="32"/>
        </w:rPr>
        <w:t>第十三条</w:t>
      </w:r>
      <w:r>
        <w:rPr>
          <w:rFonts w:ascii="仿宋_GB2312" w:eastAsia="仿宋_GB2312" w:cs="仿宋_GB2312" w:hAnsi="仿宋_GB2312" w:hint="eastAsia"/>
          <w:sz w:val="32"/>
          <w:szCs w:val="32"/>
        </w:rPr>
        <w:t xml:space="preserve"> 本办法自2019年2月1日起施行,有效期至202</w:t>
      </w:r>
      <w:r>
        <w:rPr>
          <w:rFonts w:ascii="仿宋_GB2312" w:eastAsia="仿宋_GB2312" w:cs="仿宋_GB2312" w:hAnsi="仿宋_GB2312"/>
          <w:sz w:val="32"/>
          <w:szCs w:val="32"/>
        </w:rPr>
        <w:t>8</w:t>
      </w:r>
      <w:r>
        <w:rPr>
          <w:rFonts w:ascii="仿宋_GB2312" w:eastAsia="仿宋_GB2312" w:cs="仿宋_GB2312" w:hAnsi="仿宋_GB2312" w:hint="eastAsia"/>
          <w:sz w:val="32"/>
          <w:szCs w:val="32"/>
        </w:rPr>
        <w:t>年</w:t>
      </w:r>
      <w:r>
        <w:rPr>
          <w:rFonts w:ascii="仿宋_GB2312" w:eastAsia="仿宋_GB2312" w:cs="仿宋_GB2312" w:hAnsi="仿宋_GB2312"/>
          <w:sz w:val="32"/>
          <w:szCs w:val="32"/>
        </w:rPr>
        <w:t>8</w:t>
      </w:r>
      <w:r>
        <w:rPr>
          <w:rFonts w:ascii="仿宋_GB2312" w:eastAsia="仿宋_GB2312" w:cs="仿宋_GB2312" w:hAnsi="仿宋_GB2312" w:hint="eastAsia"/>
          <w:sz w:val="32"/>
          <w:szCs w:val="32"/>
        </w:rPr>
        <w:t>月</w:t>
      </w:r>
      <w:r>
        <w:rPr>
          <w:rFonts w:ascii="仿宋_GB2312" w:eastAsia="仿宋_GB2312" w:cs="仿宋_GB2312" w:hAnsi="仿宋_GB2312"/>
          <w:sz w:val="32"/>
          <w:szCs w:val="32"/>
        </w:rPr>
        <w:t>24</w:t>
      </w:r>
      <w:r>
        <w:rPr>
          <w:rFonts w:ascii="仿宋_GB2312" w:eastAsia="仿宋_GB2312" w:cs="仿宋_GB2312" w:hAnsi="仿宋_GB2312" w:hint="eastAsia"/>
          <w:sz w:val="32"/>
          <w:szCs w:val="32"/>
        </w:rPr>
        <w:t>日止，由南京市住房保障和房产局负责解释。</w:t>
      </w:r>
    </w:p>
    <w:p>
      <w:pPr>
        <w:rPr>
          <w:rFonts w:ascii="等线" w:eastAsia="等线" w:cs="Times New Roman" w:hAnsi="等线"/>
          <w:szCs w:val="32"/>
        </w:rPr>
      </w:pPr>
    </w:p>
    <w:p>
      <w:pPr>
        <w:jc w:val="center"/>
        <w:rPr>
          <w:rFonts w:ascii="黑体" w:eastAsia="黑体" w:cs="Times New Roman" w:hAnsi="黑体"/>
        </w:rPr>
      </w:pPr>
    </w:p>
    <w:p>
      <w:pPr>
        <w:rPr>
          <w:rFonts w:ascii="等线" w:eastAsia="等线" w:cs="Times New Roman" w:hAnsi="等线"/>
        </w:rPr>
      </w:pPr>
    </w:p>
    <w:p>
      <w:pPr>
        <w:rPr>
          <w:szCs w:val="32"/>
        </w:rPr>
      </w:pPr>
    </w:p>
    <w:p>
      <w:pPr>
        <w:jc w:val="center"/>
        <w:rPr>
          <w:rFonts w:ascii="黑体" w:eastAsia="黑体" w:hAnsi="黑体"/>
        </w:rPr>
      </w:pPr>
    </w:p>
    <w:p>
      <w:pPr>
        <w:widowControl/>
        <w:jc w:val="left"/>
        <w:rPr>
          <w:rFonts w:ascii="黑体" w:eastAsia="黑体" w:hAnsi="黑体"/>
        </w:rPr>
      </w:pPr>
      <w:r>
        <w:rPr>
          <w:rFonts w:ascii="黑体" w:eastAsia="黑体" w:hAnsi="黑体"/>
        </w:rPr>
        <w:br w:type="page"/>
      </w:r>
    </w:p>
    <w:p>
      <w:pPr>
        <w:keepNext w:val="0"/>
        <w:keepLines w:val="0"/>
        <w:pageBreakBefore w:val="0"/>
        <w:widowControl w:val="0"/>
        <w:kinsoku/>
        <w:wordWrap/>
        <w:overflowPunct/>
        <w:topLinePunct w:val="0"/>
        <w:autoSpaceDE/>
        <w:autoSpaceDN/>
        <w:bidi w:val="0"/>
        <w:adjustRightInd/>
        <w:snapToGrid w:val="0"/>
        <w:spacing w:line="580" w:lineRule="exact"/>
        <w:jc w:val="center"/>
        <w:textAlignment w:val="auto"/>
        <w:rPr>
          <w:rFonts w:ascii="方正小标宋简体" w:eastAsia="方正小标宋简体" w:cs="方正小标宋简体" w:hAnsi="方正小标宋简体"/>
          <w:sz w:val="44"/>
          <w:szCs w:val="44"/>
        </w:rPr>
      </w:pPr>
      <w:r>
        <w:rPr>
          <w:rFonts w:ascii="方正小标宋简体" w:eastAsia="方正小标宋简体" w:cs="方正小标宋简体" w:hAnsi="方正小标宋简体" w:hint="eastAsia"/>
          <w:sz w:val="44"/>
          <w:szCs w:val="44"/>
        </w:rPr>
        <w:t>关于印发《南京市建筑幕墙维护检修</w:t>
      </w:r>
    </w:p>
    <w:p>
      <w:pPr>
        <w:keepNext w:val="0"/>
        <w:keepLines w:val="0"/>
        <w:pageBreakBefore w:val="0"/>
        <w:widowControl w:val="0"/>
        <w:kinsoku/>
        <w:wordWrap/>
        <w:overflowPunct/>
        <w:topLinePunct w:val="0"/>
        <w:autoSpaceDE/>
        <w:autoSpaceDN/>
        <w:bidi w:val="0"/>
        <w:adjustRightInd/>
        <w:snapToGrid w:val="0"/>
        <w:spacing w:line="580" w:lineRule="exact"/>
        <w:jc w:val="center"/>
        <w:textAlignment w:val="auto"/>
        <w:rPr>
          <w:rFonts w:ascii="方正小标宋简体" w:eastAsia="方正小标宋简体" w:cs="方正小标宋简体" w:hAnsi="方正小标宋简体"/>
          <w:sz w:val="44"/>
          <w:szCs w:val="44"/>
        </w:rPr>
      </w:pPr>
      <w:r>
        <w:rPr>
          <w:rFonts w:ascii="方正小标宋简体" w:eastAsia="方正小标宋简体" w:cs="方正小标宋简体" w:hAnsi="方正小标宋简体" w:hint="eastAsia"/>
          <w:sz w:val="44"/>
          <w:szCs w:val="44"/>
        </w:rPr>
        <w:t>管理办法》的通知</w:t>
      </w:r>
    </w:p>
    <w:p>
      <w:pPr>
        <w:jc w:val="center"/>
        <w:rPr>
          <w:rFonts w:ascii="仿宋_GB2312" w:eastAsia="仿宋_GB2312" w:cs="仿宋_GB2312" w:hAnsi="仿宋_GB2312" w:hint="eastAsia"/>
          <w:sz w:val="32"/>
          <w:szCs w:val="32"/>
        </w:rPr>
      </w:pPr>
      <w:r>
        <w:rPr>
          <w:rFonts w:ascii="仿宋_GB2312" w:eastAsia="仿宋_GB2312" w:cs="仿宋_GB2312" w:hAnsi="仿宋_GB2312" w:hint="eastAsia"/>
          <w:sz w:val="32"/>
          <w:szCs w:val="32"/>
        </w:rPr>
        <w:t>宁房规字〔2020〕1号</w:t>
      </w:r>
    </w:p>
    <w:p>
      <w:pPr>
        <w:snapToGrid w:val="0"/>
        <w:spacing w:line="0" w:lineRule="atLeast"/>
        <w:rPr>
          <w:rFonts w:ascii="仿宋_GB2312" w:eastAsia="仿宋_GB2312" w:cs="仿宋_GB2312" w:hAnsi="仿宋_GB2312" w:hint="eastAsia"/>
          <w:sz w:val="32"/>
          <w:szCs w:val="32"/>
        </w:rPr>
      </w:pPr>
    </w:p>
    <w:p>
      <w:pPr>
        <w:snapToGrid w:val="0"/>
        <w:spacing w:line="0" w:lineRule="atLeast"/>
        <w:rPr>
          <w:rFonts w:ascii="仿宋_GB2312" w:eastAsia="仿宋_GB2312" w:cs="仿宋_GB2312" w:hAnsi="仿宋_GB2312"/>
          <w:sz w:val="32"/>
          <w:szCs w:val="32"/>
        </w:rPr>
      </w:pPr>
      <w:r>
        <w:rPr>
          <w:rFonts w:ascii="仿宋_GB2312" w:eastAsia="仿宋_GB2312" w:cs="仿宋_GB2312" w:hAnsi="仿宋_GB2312" w:hint="eastAsia"/>
          <w:sz w:val="32"/>
          <w:szCs w:val="32"/>
        </w:rPr>
        <w:t>各有关单位：</w:t>
      </w:r>
    </w:p>
    <w:p>
      <w:pPr>
        <w:snapToGrid w:val="0"/>
        <w:spacing w:line="0" w:lineRule="atLeast"/>
        <w:ind w:firstLineChars="200" w:firstLine="640"/>
        <w:jc w:val="left"/>
        <w:rPr>
          <w:rFonts w:ascii="仿宋_GB2312" w:eastAsia="仿宋_GB2312" w:cs="仿宋_GB2312" w:hAnsi="Calibri"/>
          <w:sz w:val="32"/>
          <w:szCs w:val="32"/>
        </w:rPr>
      </w:pPr>
      <w:r>
        <w:rPr>
          <w:rFonts w:ascii="仿宋_GB2312" w:eastAsia="仿宋_GB2312" w:cs="仿宋_GB2312" w:hAnsi="Calibri" w:hint="eastAsia"/>
          <w:sz w:val="32"/>
          <w:szCs w:val="32"/>
        </w:rPr>
        <w:t>为进一步贯彻落实《南京市房屋使用安全管理条例》，完善房屋安全管理制度，</w:t>
      </w:r>
      <w:r>
        <w:rPr>
          <w:rFonts w:ascii="仿宋_GB2312" w:eastAsia="仿宋_GB2312" w:cs="仿宋_GB2312" w:hAnsi="仿宋_GB2312" w:hint="eastAsia"/>
          <w:sz w:val="32"/>
          <w:szCs w:val="32"/>
        </w:rPr>
        <w:t>规范房屋安全管</w:t>
      </w:r>
      <w:r>
        <w:rPr>
          <w:rFonts w:ascii="仿宋_GB2312" w:eastAsia="仿宋_GB2312" w:cs="仿宋_GB2312" w:hAnsi="Calibri" w:hint="eastAsia"/>
          <w:sz w:val="32"/>
          <w:szCs w:val="32"/>
        </w:rPr>
        <w:t>理活动，加强对建筑幕墙的维护检修管理，遵循政府监督、属地管理、业主负责、防治结合的原则，保障人民生命和财产安全，现将《南京市建筑幕墙维护检修管理办法》印发给你们，请认真贯彻执行。</w:t>
      </w:r>
    </w:p>
    <w:p>
      <w:pPr>
        <w:snapToGrid w:val="0"/>
        <w:spacing w:line="0" w:lineRule="atLeast"/>
        <w:rPr>
          <w:rFonts w:ascii="仿宋_GB2312" w:eastAsia="仿宋_GB2312" w:cs="仿宋_GB2312" w:hAnsi="Calibri"/>
          <w:sz w:val="32"/>
          <w:szCs w:val="32"/>
        </w:rPr>
      </w:pPr>
    </w:p>
    <w:p>
      <w:pPr>
        <w:snapToGrid w:val="0"/>
        <w:spacing w:line="0" w:lineRule="atLeast"/>
        <w:ind w:firstLineChars="200" w:firstLine="640"/>
        <w:rPr>
          <w:rFonts w:ascii="仿宋_GB2312" w:eastAsia="仿宋_GB2312" w:cs="仿宋_GB2312" w:hAnsi="Calibri"/>
          <w:sz w:val="32"/>
          <w:szCs w:val="32"/>
        </w:rPr>
      </w:pPr>
      <w:r>
        <w:rPr>
          <w:rFonts w:ascii="仿宋_GB2312" w:eastAsia="仿宋_GB2312" w:cs="仿宋_GB2312" w:hAnsi="Calibri" w:hint="eastAsia"/>
          <w:sz w:val="32"/>
          <w:szCs w:val="32"/>
        </w:rPr>
        <w:t>附件：南京市建筑幕墙维护检修管理办法</w:t>
      </w:r>
    </w:p>
    <w:p>
      <w:pPr>
        <w:snapToGrid w:val="0"/>
        <w:spacing w:line="0" w:lineRule="atLeast"/>
        <w:rPr>
          <w:rFonts w:ascii="仿宋_GB2312" w:eastAsia="仿宋_GB2312" w:cs="仿宋_GB2312" w:hAnsi="仿宋_GB2312"/>
          <w:sz w:val="32"/>
          <w:szCs w:val="32"/>
        </w:rPr>
      </w:pPr>
    </w:p>
    <w:p>
      <w:pPr>
        <w:snapToGrid w:val="0"/>
        <w:spacing w:line="0" w:lineRule="atLeast"/>
        <w:rPr>
          <w:rFonts w:ascii="仿宋_GB2312" w:eastAsia="仿宋_GB2312" w:cs="仿宋_GB2312" w:hAnsi="仿宋_GB2312"/>
          <w:sz w:val="32"/>
          <w:szCs w:val="32"/>
        </w:rPr>
      </w:pPr>
    </w:p>
    <w:p>
      <w:pPr>
        <w:wordWrap w:val="0"/>
        <w:snapToGrid w:val="0"/>
        <w:spacing w:line="560" w:lineRule="exact"/>
        <w:jc w:val="right"/>
        <w:rPr>
          <w:rFonts w:ascii="仿宋_GB2312" w:eastAsia="仿宋_GB2312" w:cs="仿宋_GB2312" w:hAnsi="仿宋_GB2312"/>
          <w:sz w:val="32"/>
          <w:szCs w:val="32"/>
        </w:rPr>
      </w:pPr>
    </w:p>
    <w:p>
      <w:pPr>
        <w:spacing w:line="0" w:lineRule="atLeast"/>
        <w:rPr>
          <w:rFonts w:eastAsia="仿宋_GB2312"/>
        </w:rPr>
      </w:pPr>
    </w:p>
    <w:p>
      <w:pPr>
        <w:spacing w:line="0" w:lineRule="atLeast"/>
        <w:ind w:right="-74"/>
        <w:rPr>
          <w:rFonts w:ascii="Times Roman" w:eastAsia="仿宋_GB2312" w:hAnsi="Times Roman"/>
          <w:sz w:val="32"/>
          <w:szCs w:val="32"/>
        </w:rPr>
      </w:pPr>
      <w:r>
        <w:rPr>
          <w:rFonts w:ascii="Times Roman" w:eastAsia="仿宋_GB2312" w:hAnsi="Times Roman" w:hint="eastAsia"/>
          <w:sz w:val="32"/>
          <w:szCs w:val="32"/>
        </w:rPr>
        <w:t>　　　　　　　　　　　　　南京市住房保障和房产局</w:t>
      </w:r>
    </w:p>
    <w:p>
      <w:pPr>
        <w:spacing w:line="0" w:lineRule="atLeast"/>
        <w:ind w:firstLineChars="1631" w:firstLine="5219"/>
        <w:rPr>
          <w:rFonts w:ascii="Times Roman" w:eastAsia="仿宋_GB2312" w:hAnsi="Times Roman"/>
          <w:sz w:val="32"/>
          <w:szCs w:val="32"/>
        </w:rPr>
      </w:pPr>
      <w:r>
        <w:rPr>
          <w:rFonts w:ascii="Times Roman" w:eastAsia="仿宋_GB2312" w:hAnsi="Times Roman"/>
          <w:sz w:val="32"/>
          <w:szCs w:val="32"/>
        </w:rPr>
        <w:t>20</w:t>
      </w:r>
      <w:r>
        <w:rPr>
          <w:rFonts w:ascii="Times Roman" w:eastAsia="仿宋_GB2312" w:hAnsi="Times Roman" w:hint="eastAsia"/>
          <w:sz w:val="32"/>
          <w:szCs w:val="32"/>
        </w:rPr>
        <w:t>20</w:t>
      </w:r>
      <w:r>
        <w:rPr>
          <w:rFonts w:ascii="Times Roman" w:eastAsia="仿宋_GB2312" w:hAnsi="Times Roman" w:hint="eastAsia"/>
          <w:sz w:val="32"/>
          <w:szCs w:val="32"/>
        </w:rPr>
        <w:t>年1月6日</w:t>
      </w: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widowControl/>
        <w:jc w:val="left"/>
        <w:rPr>
          <w:rFonts w:ascii="黑体" w:eastAsia="黑体" w:hAnsi="黑体"/>
        </w:rPr>
      </w:pPr>
      <w:r>
        <w:rPr>
          <w:rFonts w:ascii="黑体" w:eastAsia="黑体" w:hAnsi="黑体"/>
        </w:rPr>
        <w:br w:type="page"/>
      </w:r>
    </w:p>
    <w:p>
      <w:pPr>
        <w:spacing w:beforeLines="50" w:before="120" w:afterLines="50" w:after="120" w:line="360" w:lineRule="auto"/>
        <w:jc w:val="center"/>
        <w:rPr>
          <w:rFonts w:ascii="方正小标宋_GBK" w:eastAsia="方正小标宋_GBK" w:cs="宋体"/>
          <w:b/>
          <w:kern w:val="0"/>
          <w:sz w:val="44"/>
          <w:szCs w:val="44"/>
        </w:rPr>
      </w:pPr>
      <w:r>
        <w:rPr>
          <w:rFonts w:ascii="方正小标宋_GBK" w:eastAsia="方正小标宋_GBK" w:cs="宋体" w:hAnsi="宋体" w:hint="eastAsia"/>
          <w:b/>
          <w:kern w:val="0"/>
          <w:sz w:val="44"/>
          <w:szCs w:val="44"/>
        </w:rPr>
        <w:t>南京市建筑幕墙维护检修管理办法</w:t>
      </w:r>
    </w:p>
    <w:p>
      <w:pPr>
        <w:pStyle w:val="52"/>
        <w:numPr>
          <w:ilvl w:val="0"/>
          <w:numId w:val="3"/>
        </w:numPr>
        <w:spacing w:beforeLines="50" w:before="120" w:afterLines="50" w:after="120" w:line="360" w:lineRule="auto"/>
        <w:ind w:firstLineChars="0"/>
        <w:jc w:val="center"/>
        <w:rPr>
          <w:rFonts w:ascii="黑体" w:eastAsia="黑体" w:cs="宋体" w:hAnsi="黑体"/>
          <w:b/>
          <w:kern w:val="0"/>
          <w:sz w:val="32"/>
          <w:szCs w:val="32"/>
        </w:rPr>
      </w:pPr>
      <w:r>
        <w:rPr>
          <w:rFonts w:ascii="黑体" w:eastAsia="黑体" w:cs="宋体" w:hAnsi="黑体" w:hint="eastAsia"/>
          <w:b/>
          <w:kern w:val="0"/>
          <w:sz w:val="32"/>
          <w:szCs w:val="32"/>
        </w:rPr>
        <w:t>总则</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b/>
          <w:kern w:val="0"/>
          <w:sz w:val="32"/>
          <w:szCs w:val="32"/>
        </w:rPr>
        <w:t xml:space="preserve">第一条 </w:t>
      </w:r>
      <w:r>
        <w:rPr>
          <w:rFonts w:ascii="仿宋_GB2312" w:eastAsia="仿宋_GB2312" w:cs="宋体" w:hAnsi="宋体" w:hint="eastAsia"/>
          <w:kern w:val="0"/>
          <w:sz w:val="32"/>
          <w:szCs w:val="32"/>
        </w:rPr>
        <w:t>为了加强对建筑幕墙的维护检修管理，保障人民生命和财产安全，根据《中华人民共和国建筑法》、建设部《既有建筑幕墙安全维护管理办法》（建质[2006]291号）以及《南京市房屋使用安全管理条例》（以下简称《条例》）的规定，结合本市实际，制定本办法。</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b/>
          <w:kern w:val="0"/>
          <w:sz w:val="32"/>
          <w:szCs w:val="32"/>
        </w:rPr>
        <w:t xml:space="preserve">第二条 </w:t>
      </w:r>
      <w:r>
        <w:rPr>
          <w:rFonts w:ascii="仿宋_GB2312" w:eastAsia="仿宋_GB2312" w:cs="宋体" w:hAnsi="宋体" w:hint="eastAsia"/>
          <w:kern w:val="0"/>
          <w:sz w:val="32"/>
          <w:szCs w:val="32"/>
        </w:rPr>
        <w:t>本市行政区域内已竣工验收并交付使用的建筑幕墙的维护检修及相关监督管理，适用本办法。</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kern w:val="0"/>
          <w:sz w:val="32"/>
          <w:szCs w:val="32"/>
        </w:rPr>
        <w:t>本办法所称建筑幕墙，是指各类已竣工验收交付使用的建筑幕墙，包括玻璃幕墙、石材幕墙、金属板幕墙以及瓷板、陶板、微晶玻璃板等人造板材幕墙，以及包含以上各类面板材料的组合幕墙。</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b/>
          <w:kern w:val="0"/>
          <w:sz w:val="32"/>
          <w:szCs w:val="32"/>
        </w:rPr>
        <w:t xml:space="preserve">第三条 </w:t>
      </w:r>
      <w:r>
        <w:rPr>
          <w:rFonts w:ascii="仿宋_GB2312" w:eastAsia="仿宋_GB2312" w:cs="宋体" w:hAnsi="宋体" w:hint="eastAsia"/>
          <w:kern w:val="0"/>
          <w:sz w:val="32"/>
          <w:szCs w:val="32"/>
        </w:rPr>
        <w:t>建筑幕墙维护检修管理应当遵循政府监督、属地管理、业主负责、防治结合的原则。</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b/>
          <w:kern w:val="0"/>
          <w:sz w:val="32"/>
          <w:szCs w:val="32"/>
        </w:rPr>
        <w:t xml:space="preserve">第四条 </w:t>
      </w:r>
      <w:r>
        <w:rPr>
          <w:rFonts w:ascii="仿宋_GB2312" w:eastAsia="仿宋_GB2312" w:cs="宋体" w:hAnsi="宋体" w:hint="eastAsia"/>
          <w:kern w:val="0"/>
          <w:sz w:val="32"/>
          <w:szCs w:val="32"/>
        </w:rPr>
        <w:t>市房屋安全行政主管部门负责指导、服务和监督各区开展建筑幕墙维护检修的管理工作；各区及江北新区房屋安全行政主管部门具体负责辖区内建筑幕墙维护检修的监督管理工作，督促业主、服务企业或者其他管理人依据相关标准和规范，开展日常维护巡查工作</w:t>
      </w:r>
      <w:r>
        <w:rPr>
          <w:rFonts w:ascii="仿宋_GB2312" w:eastAsia="仿宋_GB2312" w:cs="宋体" w:hint="eastAsia"/>
          <w:kern w:val="0"/>
          <w:sz w:val="32"/>
          <w:szCs w:val="32"/>
        </w:rPr>
        <w:t>,</w:t>
      </w:r>
      <w:r>
        <w:rPr>
          <w:rFonts w:ascii="仿宋_GB2312" w:eastAsia="仿宋_GB2312" w:cs="宋体" w:hAnsi="宋体" w:hint="eastAsia"/>
          <w:kern w:val="0"/>
          <w:sz w:val="32"/>
          <w:szCs w:val="32"/>
        </w:rPr>
        <w:t>指导镇人民政府、街道办事处开展建筑幕墙使用安全的管理、服务工作。</w:t>
      </w:r>
    </w:p>
    <w:p>
      <w:pPr>
        <w:pStyle w:val="52"/>
        <w:widowControl/>
        <w:numPr>
          <w:ilvl w:val="0"/>
          <w:numId w:val="3"/>
        </w:numPr>
        <w:spacing w:beforeLines="50" w:before="120" w:afterLines="50" w:after="120" w:line="360" w:lineRule="auto"/>
        <w:ind w:firstLineChars="0"/>
        <w:jc w:val="center"/>
        <w:rPr>
          <w:rFonts w:ascii="黑体" w:eastAsia="黑体" w:cs="宋体" w:hAnsi="黑体"/>
          <w:b/>
          <w:kern w:val="0"/>
          <w:sz w:val="32"/>
          <w:szCs w:val="32"/>
        </w:rPr>
      </w:pPr>
      <w:r>
        <w:rPr>
          <w:rFonts w:ascii="黑体" w:eastAsia="黑体" w:cs="宋体" w:hAnsi="黑体" w:hint="eastAsia"/>
          <w:b/>
          <w:kern w:val="0"/>
          <w:sz w:val="32"/>
          <w:szCs w:val="32"/>
        </w:rPr>
        <w:t>使用维护管理</w:t>
      </w:r>
    </w:p>
    <w:p>
      <w:pPr>
        <w:widowControl/>
        <w:spacing w:line="360" w:lineRule="auto"/>
        <w:ind w:firstLine="465"/>
        <w:rPr>
          <w:rFonts w:ascii="仿宋_GB2312" w:eastAsia="仿宋_GB2312" w:cs="宋体"/>
          <w:kern w:val="0"/>
          <w:sz w:val="32"/>
          <w:szCs w:val="32"/>
        </w:rPr>
      </w:pPr>
      <w:r>
        <w:rPr>
          <w:rFonts w:ascii="仿宋_GB2312" w:eastAsia="仿宋_GB2312" w:cs="宋体" w:hAnsi="宋体" w:hint="eastAsia"/>
          <w:b/>
          <w:kern w:val="0"/>
          <w:sz w:val="32"/>
          <w:szCs w:val="32"/>
        </w:rPr>
        <w:t xml:space="preserve">第五条 </w:t>
      </w:r>
      <w:r>
        <w:rPr>
          <w:rFonts w:ascii="仿宋_GB2312" w:eastAsia="仿宋_GB2312" w:cs="宋体" w:hAnsi="宋体" w:hint="eastAsia"/>
          <w:kern w:val="0"/>
          <w:sz w:val="32"/>
          <w:szCs w:val="32"/>
        </w:rPr>
        <w:t>建设单位应向业主提供《建筑幕墙使用维护说明书》，并按照规定将竣工资料移交前期物业服务企业或业主。</w:t>
      </w:r>
    </w:p>
    <w:p>
      <w:pPr>
        <w:spacing w:line="360" w:lineRule="auto"/>
        <w:ind w:firstLineChars="200" w:firstLine="640"/>
        <w:rPr>
          <w:rFonts w:ascii="仿宋_GB2312" w:eastAsia="仿宋_GB2312"/>
          <w:sz w:val="32"/>
          <w:szCs w:val="32"/>
        </w:rPr>
      </w:pPr>
      <w:r>
        <w:rPr>
          <w:rFonts w:ascii="仿宋_GB2312" w:eastAsia="仿宋_GB2312" w:hint="eastAsia"/>
          <w:b/>
          <w:bCs/>
          <w:sz w:val="32"/>
          <w:szCs w:val="32"/>
        </w:rPr>
        <w:t xml:space="preserve">第六条 </w:t>
      </w:r>
      <w:r>
        <w:rPr>
          <w:rFonts w:ascii="仿宋_GB2312" w:eastAsia="仿宋_GB2312" w:hint="eastAsia"/>
          <w:sz w:val="32"/>
          <w:szCs w:val="32"/>
        </w:rPr>
        <w:t>建筑幕墙所有权人为建筑幕墙使用安全责任人，建筑幕墙的维护检修实行业主负责制，并按照下列规定确定维护检修责任人：</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（一）建筑物为单一所有权人的，该所有权人为建筑幕墙的维护检修责任人；</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（二）建筑物为多个所有权人共有的，全体所有权人为建筑幕墙的维护检修责任人，并可由下列之一的机构或人员牵头组织建筑幕墙的维护检修：</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1、业主委员会；</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2、经协商确定的所有权人代表；</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3、委托的物业服务企业或者专业机构；</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（三）所有权人下落不明、权属不清的，使用人、管理人为建筑幕墙使用安全责任人。</w:t>
      </w:r>
    </w:p>
    <w:p>
      <w:pPr>
        <w:spacing w:line="360" w:lineRule="auto"/>
        <w:ind w:firstLineChars="200" w:firstLine="640"/>
        <w:rPr>
          <w:rFonts w:ascii="仿宋_GB2312" w:eastAsia="仿宋_GB2312"/>
          <w:sz w:val="32"/>
          <w:szCs w:val="32"/>
        </w:rPr>
      </w:pPr>
      <w:r>
        <w:rPr>
          <w:rFonts w:ascii="仿宋_GB2312" w:eastAsia="仿宋_GB2312" w:hint="eastAsia"/>
          <w:sz w:val="32"/>
          <w:szCs w:val="32"/>
        </w:rPr>
        <w:t>鼓励业主委托第三方专业服务机构提供建筑幕墙维护检修的技术服务，倡导业主投保建筑幕墙使用的相关责任保险。</w:t>
      </w:r>
    </w:p>
    <w:p>
      <w:pPr>
        <w:spacing w:line="360" w:lineRule="auto"/>
        <w:ind w:firstLineChars="200" w:firstLine="640"/>
        <w:rPr>
          <w:rFonts w:ascii="仿宋_GB2312" w:eastAsia="仿宋_GB2312"/>
          <w:sz w:val="32"/>
          <w:szCs w:val="32"/>
        </w:rPr>
      </w:pPr>
      <w:r>
        <w:rPr>
          <w:rFonts w:ascii="仿宋_GB2312" w:eastAsia="仿宋_GB2312" w:hint="eastAsia"/>
          <w:b/>
          <w:bCs/>
          <w:sz w:val="32"/>
          <w:szCs w:val="32"/>
        </w:rPr>
        <w:t xml:space="preserve">第七条 </w:t>
      </w:r>
      <w:r>
        <w:rPr>
          <w:rFonts w:ascii="仿宋_GB2312" w:eastAsia="仿宋_GB2312" w:hint="eastAsia"/>
          <w:sz w:val="32"/>
          <w:szCs w:val="32"/>
        </w:rPr>
        <w:t>建筑幕墙的安全维护责任主要包括：</w:t>
      </w:r>
    </w:p>
    <w:p>
      <w:pPr>
        <w:spacing w:line="360" w:lineRule="auto"/>
        <w:ind w:firstLineChars="200" w:firstLine="640"/>
        <w:rPr>
          <w:rFonts w:ascii="仿宋_GB2312" w:eastAsia="仿宋_GB2312" w:cs="宋体"/>
          <w:kern w:val="0"/>
          <w:sz w:val="32"/>
          <w:szCs w:val="32"/>
        </w:rPr>
      </w:pPr>
      <w:r>
        <w:rPr>
          <w:rFonts w:ascii="仿宋_GB2312" w:eastAsia="仿宋_GB2312" w:hint="eastAsia"/>
          <w:sz w:val="32"/>
          <w:szCs w:val="32"/>
        </w:rPr>
        <w:t>（一）按照国家、省、市有关规定以及建筑幕墙使用维护说明书进行使用和</w:t>
      </w:r>
      <w:r>
        <w:rPr>
          <w:rFonts w:ascii="仿宋_GB2312" w:eastAsia="仿宋_GB2312" w:cs="宋体" w:hAnsi="宋体" w:hint="eastAsia"/>
          <w:kern w:val="0"/>
          <w:sz w:val="32"/>
          <w:szCs w:val="32"/>
        </w:rPr>
        <w:t>日常巡查、维护、检修；</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kern w:val="0"/>
          <w:sz w:val="32"/>
          <w:szCs w:val="32"/>
        </w:rPr>
        <w:t>（二）按照国家、省、市有关规定进行安全性鉴定及大修；</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kern w:val="0"/>
          <w:sz w:val="32"/>
          <w:szCs w:val="32"/>
        </w:rPr>
        <w:t>（三）承担日常巡查、维护、检修、安全性鉴定及大修等费用；</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kern w:val="0"/>
          <w:sz w:val="32"/>
          <w:szCs w:val="32"/>
        </w:rPr>
        <w:t>（四）制定突发事件应急预案，并对因建筑幕墙事故造成的人员伤亡和财产损失依法承担法律责任；</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kern w:val="0"/>
          <w:sz w:val="32"/>
          <w:szCs w:val="32"/>
        </w:rPr>
        <w:t>（五）建立相关维护、检修及安全性鉴定档案；</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kern w:val="0"/>
          <w:sz w:val="32"/>
          <w:szCs w:val="32"/>
        </w:rPr>
        <w:t>（六）法律法规规定的其他责任。</w:t>
      </w:r>
    </w:p>
    <w:p>
      <w:pPr>
        <w:widowControl/>
        <w:spacing w:line="360" w:lineRule="auto"/>
        <w:ind w:firstLineChars="200" w:firstLine="640"/>
        <w:jc w:val="left"/>
        <w:rPr>
          <w:rFonts w:ascii="仿宋_GB2312" w:eastAsia="仿宋_GB2312" w:cs="宋体"/>
          <w:kern w:val="0"/>
          <w:sz w:val="32"/>
          <w:szCs w:val="32"/>
        </w:rPr>
      </w:pPr>
      <w:r>
        <w:rPr>
          <w:rFonts w:ascii="仿宋_GB2312" w:eastAsia="仿宋_GB2312" w:cs="宋体" w:hAnsi="宋体" w:hint="eastAsia"/>
          <w:b/>
          <w:kern w:val="0"/>
          <w:sz w:val="32"/>
          <w:szCs w:val="32"/>
        </w:rPr>
        <w:t xml:space="preserve">第八条 </w:t>
      </w:r>
      <w:r>
        <w:rPr>
          <w:rFonts w:ascii="仿宋_GB2312" w:eastAsia="仿宋_GB2312" w:cs="宋体" w:hAnsi="宋体" w:hint="eastAsia"/>
          <w:kern w:val="0"/>
          <w:sz w:val="32"/>
          <w:szCs w:val="32"/>
        </w:rPr>
        <w:t>建筑幕墙的日常维护检修可委托物业服务企业或其他专业从事建筑幕墙维护检修的单位进行。维护检修合同应明确约定具体的维护和检修内容、方式及双方的权利和义务。</w:t>
      </w:r>
    </w:p>
    <w:p>
      <w:pPr>
        <w:widowControl/>
        <w:spacing w:line="360" w:lineRule="auto"/>
        <w:ind w:firstLineChars="200" w:firstLine="640"/>
        <w:rPr>
          <w:rFonts w:ascii="仿宋_GB2312" w:eastAsia="仿宋_GB2312" w:cs="宋体"/>
          <w:color w:val="FF0000"/>
          <w:kern w:val="0"/>
          <w:sz w:val="32"/>
          <w:szCs w:val="32"/>
        </w:rPr>
      </w:pPr>
      <w:r>
        <w:rPr>
          <w:rFonts w:ascii="仿宋_GB2312" w:eastAsia="仿宋_GB2312" w:cs="宋体" w:hAnsi="宋体" w:hint="eastAsia"/>
          <w:b/>
          <w:kern w:val="0"/>
          <w:sz w:val="32"/>
          <w:szCs w:val="32"/>
        </w:rPr>
        <w:t xml:space="preserve">第九条 </w:t>
      </w:r>
      <w:r>
        <w:rPr>
          <w:rFonts w:ascii="仿宋_GB2312" w:eastAsia="仿宋_GB2312" w:cs="宋体" w:hAnsi="宋体" w:hint="eastAsia"/>
          <w:kern w:val="0"/>
          <w:sz w:val="32"/>
          <w:szCs w:val="32"/>
        </w:rPr>
        <w:t>建筑幕墙维护检修推行《南京市建筑幕墙安全检查工作要点》（附件1），主要包括查阅工程技术资料、维护检修管理资料，现场检查、检测以及维护等。</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b/>
          <w:kern w:val="0"/>
          <w:sz w:val="32"/>
          <w:szCs w:val="32"/>
        </w:rPr>
        <w:t xml:space="preserve">第十条 </w:t>
      </w:r>
      <w:r>
        <w:rPr>
          <w:rFonts w:ascii="仿宋_GB2312" w:eastAsia="仿宋_GB2312" w:cs="宋体" w:hAnsi="宋体" w:hint="eastAsia"/>
          <w:kern w:val="0"/>
          <w:sz w:val="32"/>
          <w:szCs w:val="32"/>
        </w:rPr>
        <w:t>建筑幕墙维护检修责任人应当按照有关标准和规范，对建筑幕墙进行维护和检修。</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kern w:val="0"/>
          <w:sz w:val="32"/>
          <w:szCs w:val="32"/>
        </w:rPr>
        <w:t>建筑幕墙竣工验收合格并交付使用之日起，每五年组织一次安全隐患排查；幕墙使用期满十年的，应当在期满后半年内进行安全性能检查和评估，且以后每三年检查和评估一次。</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b/>
          <w:kern w:val="0"/>
          <w:sz w:val="32"/>
          <w:szCs w:val="32"/>
        </w:rPr>
        <w:t>第十一条</w:t>
      </w:r>
      <w:r>
        <w:rPr>
          <w:rFonts w:ascii="仿宋_GB2312" w:eastAsia="仿宋_GB2312" w:cs="宋体" w:hAnsi="宋体" w:hint="eastAsia"/>
          <w:kern w:val="0"/>
          <w:sz w:val="32"/>
          <w:szCs w:val="32"/>
        </w:rPr>
        <w:t xml:space="preserve"> 建筑幕墙有下列情形之一的，</w:t>
      </w:r>
      <w:r>
        <w:rPr>
          <w:rFonts w:ascii="仿宋_GB2312" w:eastAsia="仿宋_GB2312" w:hint="eastAsia"/>
          <w:sz w:val="32"/>
          <w:szCs w:val="32"/>
        </w:rPr>
        <w:t>维护检修责任人</w:t>
      </w:r>
      <w:r>
        <w:rPr>
          <w:rFonts w:ascii="仿宋_GB2312" w:eastAsia="仿宋_GB2312" w:cs="宋体" w:hAnsi="宋体" w:hint="eastAsia"/>
          <w:kern w:val="0"/>
          <w:sz w:val="32"/>
          <w:szCs w:val="32"/>
        </w:rPr>
        <w:t>应当委托具有检测或设计能力的单位进行幕墙安全性能鉴定：</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kern w:val="0"/>
          <w:sz w:val="32"/>
          <w:szCs w:val="32"/>
        </w:rPr>
        <w:t>（一）面板、连接构件或者局部墙面等出现异常松动、变形、脱落、爆裂现象的；</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kern w:val="0"/>
          <w:sz w:val="32"/>
          <w:szCs w:val="32"/>
        </w:rPr>
        <w:t>（二）遭受自然灾害等突发事件造成损坏的；</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kern w:val="0"/>
          <w:sz w:val="32"/>
          <w:szCs w:val="32"/>
        </w:rPr>
        <w:t>（三）相关房屋主体结构经检测、鉴定存在安全隐患的；</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kern w:val="0"/>
          <w:sz w:val="32"/>
          <w:szCs w:val="32"/>
        </w:rPr>
        <w:t>（四）达到设计使用年限需要继续使用的；</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kern w:val="0"/>
          <w:sz w:val="32"/>
          <w:szCs w:val="32"/>
        </w:rPr>
        <w:t>（五）依照法律法规需要进行安全性鉴定的其它情形。</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b/>
          <w:kern w:val="0"/>
          <w:sz w:val="32"/>
          <w:szCs w:val="32"/>
        </w:rPr>
        <w:t xml:space="preserve">第十二条 </w:t>
      </w:r>
      <w:r>
        <w:rPr>
          <w:rFonts w:ascii="仿宋_GB2312" w:eastAsia="仿宋_GB2312" w:cs="宋体" w:hAnsi="宋体" w:hint="eastAsia"/>
          <w:kern w:val="0"/>
          <w:sz w:val="32"/>
          <w:szCs w:val="32"/>
        </w:rPr>
        <w:t>经鉴定建筑幕墙存在安全隐患的，鉴定单位应当及时将鉴定意见告知</w:t>
      </w:r>
      <w:r>
        <w:rPr>
          <w:rFonts w:ascii="仿宋_GB2312" w:eastAsia="仿宋_GB2312" w:hint="eastAsia"/>
          <w:sz w:val="32"/>
          <w:szCs w:val="32"/>
        </w:rPr>
        <w:t>维护检修责任人</w:t>
      </w:r>
      <w:r>
        <w:rPr>
          <w:rFonts w:ascii="仿宋_GB2312" w:eastAsia="仿宋_GB2312" w:cs="宋体" w:hAnsi="宋体" w:hint="eastAsia"/>
          <w:kern w:val="0"/>
          <w:sz w:val="32"/>
          <w:szCs w:val="32"/>
        </w:rPr>
        <w:t>。</w:t>
      </w:r>
    </w:p>
    <w:p>
      <w:pPr>
        <w:widowControl/>
        <w:spacing w:line="360" w:lineRule="auto"/>
        <w:ind w:firstLineChars="200" w:firstLine="640"/>
        <w:rPr>
          <w:rFonts w:ascii="仿宋_GB2312" w:eastAsia="仿宋_GB2312" w:cs="宋体"/>
          <w:kern w:val="0"/>
          <w:sz w:val="32"/>
          <w:szCs w:val="32"/>
        </w:rPr>
      </w:pPr>
      <w:r>
        <w:rPr>
          <w:rFonts w:ascii="仿宋_GB2312" w:eastAsia="仿宋_GB2312" w:hint="eastAsia"/>
          <w:sz w:val="32"/>
          <w:szCs w:val="32"/>
        </w:rPr>
        <w:t>维护检修责任人</w:t>
      </w:r>
      <w:r>
        <w:rPr>
          <w:rFonts w:ascii="仿宋_GB2312" w:eastAsia="仿宋_GB2312" w:cs="宋体" w:hAnsi="宋体" w:hint="eastAsia"/>
          <w:kern w:val="0"/>
          <w:sz w:val="32"/>
          <w:szCs w:val="32"/>
        </w:rPr>
        <w:t>应当按照鉴定意见及时设置警示标志，采取安全处理措施，确保使用安全；并于3日内将鉴定意见和处置情况向所在地房屋安全行政主管部门报告。</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b/>
          <w:kern w:val="0"/>
          <w:sz w:val="32"/>
          <w:szCs w:val="32"/>
        </w:rPr>
        <w:t xml:space="preserve">第十三条 </w:t>
      </w:r>
      <w:r>
        <w:rPr>
          <w:rFonts w:ascii="仿宋_GB2312" w:eastAsia="仿宋_GB2312" w:cs="宋体" w:hAnsi="宋体" w:hint="eastAsia"/>
          <w:kern w:val="0"/>
          <w:sz w:val="32"/>
          <w:szCs w:val="32"/>
        </w:rPr>
        <w:t>建筑幕墙保修期满后的维修需要使用维修资金的，应当按照维修资金管理规定办理。</w:t>
      </w:r>
    </w:p>
    <w:p>
      <w:pPr>
        <w:pStyle w:val="52"/>
        <w:numPr>
          <w:ilvl w:val="0"/>
          <w:numId w:val="3"/>
        </w:numPr>
        <w:spacing w:line="360" w:lineRule="auto"/>
        <w:ind w:left="720" w:firstLineChars="0" w:firstLine="0"/>
        <w:jc w:val="center"/>
        <w:rPr>
          <w:rFonts w:ascii="黑体" w:eastAsia="黑体" w:cs="宋体" w:hAnsi="黑体"/>
          <w:b/>
          <w:kern w:val="0"/>
          <w:sz w:val="32"/>
          <w:szCs w:val="32"/>
        </w:rPr>
      </w:pPr>
      <w:r>
        <w:rPr>
          <w:rFonts w:ascii="黑体" w:eastAsia="黑体" w:cs="宋体" w:hAnsi="黑体" w:hint="eastAsia"/>
          <w:b/>
          <w:kern w:val="0"/>
          <w:sz w:val="32"/>
          <w:szCs w:val="32"/>
        </w:rPr>
        <w:t>监督管理</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b/>
          <w:bCs/>
          <w:kern w:val="0"/>
          <w:sz w:val="32"/>
          <w:szCs w:val="32"/>
        </w:rPr>
        <w:t xml:space="preserve">第十四条 </w:t>
      </w:r>
      <w:r>
        <w:rPr>
          <w:rFonts w:ascii="仿宋_GB2312" w:eastAsia="仿宋_GB2312" w:cs="宋体" w:hAnsi="宋体" w:hint="eastAsia"/>
          <w:kern w:val="0"/>
          <w:sz w:val="32"/>
          <w:szCs w:val="32"/>
        </w:rPr>
        <w:t>市房屋安全行政主管部门应当建立本市建筑幕墙信息管理系统，并负责维护和更新。</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kern w:val="0"/>
          <w:sz w:val="32"/>
          <w:szCs w:val="32"/>
        </w:rPr>
        <w:t>区房屋安全行政主管部门应当组织开展建筑幕墙情况的普查和排查工作，建立档案（附件2），向</w:t>
      </w:r>
      <w:r>
        <w:rPr>
          <w:rFonts w:ascii="仿宋_GB2312" w:eastAsia="仿宋_GB2312" w:hint="eastAsia"/>
          <w:sz w:val="32"/>
          <w:szCs w:val="32"/>
        </w:rPr>
        <w:t>维护检修责任人</w:t>
      </w:r>
      <w:r>
        <w:rPr>
          <w:rFonts w:ascii="仿宋_GB2312" w:eastAsia="仿宋_GB2312" w:cs="宋体" w:hAnsi="宋体" w:hint="eastAsia"/>
          <w:kern w:val="0"/>
          <w:sz w:val="32"/>
          <w:szCs w:val="32"/>
        </w:rPr>
        <w:t>发放建筑幕墙安全使用注意事项（附件3），指导</w:t>
      </w:r>
      <w:r>
        <w:rPr>
          <w:rFonts w:ascii="仿宋_GB2312" w:eastAsia="仿宋_GB2312" w:hint="eastAsia"/>
          <w:sz w:val="32"/>
          <w:szCs w:val="32"/>
        </w:rPr>
        <w:t>维护检修责任人</w:t>
      </w:r>
      <w:r>
        <w:rPr>
          <w:rFonts w:ascii="仿宋_GB2312" w:eastAsia="仿宋_GB2312" w:cs="宋体" w:hAnsi="宋体" w:hint="eastAsia"/>
          <w:kern w:val="0"/>
          <w:sz w:val="32"/>
          <w:szCs w:val="32"/>
        </w:rPr>
        <w:t>填写《南京市建筑幕墙使用维护情况报表》（附件4），并将报表信息录入建筑幕墙信息管理系统，建立建筑幕墙数据库，实行信息化监管。</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kern w:val="0"/>
          <w:sz w:val="32"/>
          <w:szCs w:val="32"/>
        </w:rPr>
        <w:t>建筑幕墙信息应包括维护检修责任人、工程位置、建筑高度、幕墙结构形式和面积、面板材料、竣工时间、设计使用年限、幕墙状况、安全维护情况等相关信息。</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kern w:val="0"/>
          <w:sz w:val="32"/>
          <w:szCs w:val="32"/>
        </w:rPr>
        <w:t>房屋安全行政主管部门应当加强与规划资源、建设等有关行政管理部门沟通、协调，实现建筑幕墙的规划、建设管理等信息共享。</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b/>
          <w:bCs/>
          <w:kern w:val="0"/>
          <w:sz w:val="32"/>
          <w:szCs w:val="32"/>
        </w:rPr>
        <w:t xml:space="preserve">第十五条 </w:t>
      </w:r>
      <w:r>
        <w:rPr>
          <w:rFonts w:ascii="仿宋_GB2312" w:eastAsia="仿宋_GB2312" w:cs="宋体" w:hAnsi="宋体" w:hint="eastAsia"/>
          <w:kern w:val="0"/>
          <w:sz w:val="32"/>
          <w:szCs w:val="32"/>
        </w:rPr>
        <w:t>市房屋安全行政主管部门应当每年对各区开展一次建筑幕墙维护检修情况专项监督检查。</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kern w:val="0"/>
          <w:sz w:val="32"/>
          <w:szCs w:val="32"/>
        </w:rPr>
        <w:t>区房屋安全行政主管部门应当每年督促</w:t>
      </w:r>
      <w:r>
        <w:rPr>
          <w:rFonts w:ascii="仿宋_GB2312" w:eastAsia="仿宋_GB2312" w:hint="eastAsia"/>
          <w:sz w:val="32"/>
          <w:szCs w:val="32"/>
        </w:rPr>
        <w:t>维护检修责任人</w:t>
      </w:r>
      <w:r>
        <w:rPr>
          <w:rFonts w:ascii="仿宋_GB2312" w:eastAsia="仿宋_GB2312" w:cs="宋体" w:hAnsi="宋体" w:hint="eastAsia"/>
          <w:kern w:val="0"/>
          <w:sz w:val="32"/>
          <w:szCs w:val="32"/>
        </w:rPr>
        <w:t>开展建筑幕墙安全检查、使用维护和检修；在汛期、大风暴雨等恶劣天气以及重大节假日、重要活动前组织开展重点区域的专项检查。</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b/>
          <w:bCs/>
          <w:kern w:val="0"/>
          <w:sz w:val="32"/>
          <w:szCs w:val="32"/>
        </w:rPr>
        <w:t xml:space="preserve">第十六条 </w:t>
      </w:r>
      <w:r>
        <w:rPr>
          <w:rFonts w:ascii="仿宋_GB2312" w:eastAsia="仿宋_GB2312" w:cs="宋体" w:hAnsi="宋体" w:hint="eastAsia"/>
          <w:kern w:val="0"/>
          <w:sz w:val="32"/>
          <w:szCs w:val="32"/>
        </w:rPr>
        <w:t>区房屋安全行政主管部门应当督促教育、卫生计生、文化广电新闻出版、体育、交通运输、旅游、商务、民政等行业主管部门或</w:t>
      </w:r>
      <w:r>
        <w:rPr>
          <w:rFonts w:ascii="仿宋_GB2312" w:eastAsia="仿宋_GB2312" w:hint="eastAsia"/>
          <w:sz w:val="32"/>
          <w:szCs w:val="32"/>
        </w:rPr>
        <w:t>维护检修责任人</w:t>
      </w:r>
      <w:r>
        <w:rPr>
          <w:rFonts w:ascii="仿宋_GB2312" w:eastAsia="仿宋_GB2312" w:cs="宋体" w:hAnsi="宋体" w:hint="eastAsia"/>
          <w:kern w:val="0"/>
          <w:sz w:val="32"/>
          <w:szCs w:val="32"/>
        </w:rPr>
        <w:t>对下列建筑幕墙实施重点检查，并将存在严重安全隐患的检查情况向区房屋安全行政主管部门报告。</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kern w:val="0"/>
          <w:sz w:val="32"/>
          <w:szCs w:val="32"/>
        </w:rPr>
        <w:t>（一）医院、学校、幼儿园、剧院、场馆、车站、宾馆、商业中心、交通枢纽、文化体育设施等人员密集、流动性大的公共建筑；</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kern w:val="0"/>
          <w:sz w:val="32"/>
          <w:szCs w:val="32"/>
        </w:rPr>
        <w:t>（二）临近道路、广场以及下部为人员出入口、通道的建筑；</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kern w:val="0"/>
          <w:sz w:val="32"/>
          <w:szCs w:val="32"/>
        </w:rPr>
        <w:t>（三）幕墙面板发生爆裂、脱落或者投诉较多的建筑；</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kern w:val="0"/>
          <w:sz w:val="32"/>
          <w:szCs w:val="32"/>
        </w:rPr>
        <w:t>（四）经鉴定存在安全隐患仍未消险的建筑。</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b/>
          <w:bCs/>
          <w:kern w:val="0"/>
          <w:sz w:val="32"/>
          <w:szCs w:val="32"/>
        </w:rPr>
        <w:t xml:space="preserve">第十七条 </w:t>
      </w:r>
      <w:r>
        <w:rPr>
          <w:rFonts w:ascii="仿宋_GB2312" w:eastAsia="仿宋_GB2312" w:cs="宋体" w:hAnsi="宋体" w:hint="eastAsia"/>
          <w:kern w:val="0"/>
          <w:sz w:val="32"/>
          <w:szCs w:val="32"/>
        </w:rPr>
        <w:t>经检查发现建筑幕墙危及公共安全和人身财产安全的，区房屋安全行政主管部门应当责令维护检修责任人采取有效措施消除危险，限期治理（附件5）；指导镇人民政府、街道办事处协助做好建筑幕墙隐患消险整改监督工作。</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kern w:val="0"/>
          <w:sz w:val="32"/>
          <w:szCs w:val="32"/>
        </w:rPr>
        <w:t>维护检修责任人拒不采取有效措施的，房屋安全行政主管部门在房产交易、租赁信息平台进行风险提示；被行政处罚的，依法记入社会信用信息。</w:t>
      </w:r>
    </w:p>
    <w:p>
      <w:pPr>
        <w:widowControl/>
        <w:spacing w:line="360" w:lineRule="auto"/>
        <w:ind w:firstLineChars="200" w:firstLine="640"/>
        <w:rPr>
          <w:rFonts w:ascii="仿宋_GB2312" w:eastAsia="仿宋_GB2312" w:cs="宋体"/>
          <w:kern w:val="0"/>
          <w:sz w:val="32"/>
          <w:szCs w:val="32"/>
        </w:rPr>
      </w:pPr>
      <w:r>
        <w:rPr>
          <w:rFonts w:ascii="仿宋_GB2312" w:eastAsia="仿宋_GB2312" w:cs="宋体" w:hAnsi="宋体" w:hint="eastAsia"/>
          <w:b/>
          <w:bCs/>
          <w:kern w:val="0"/>
          <w:sz w:val="32"/>
          <w:szCs w:val="32"/>
        </w:rPr>
        <w:t xml:space="preserve">第十八条 </w:t>
      </w:r>
      <w:r>
        <w:rPr>
          <w:rFonts w:ascii="仿宋_GB2312" w:eastAsia="仿宋_GB2312" w:cs="宋体" w:hAnsi="宋体" w:hint="eastAsia"/>
          <w:kern w:val="0"/>
          <w:sz w:val="32"/>
          <w:szCs w:val="32"/>
        </w:rPr>
        <w:t>房屋安全行政主管部门应当每年组织开展建筑幕墙安全排查业务培训。</w:t>
      </w:r>
    </w:p>
    <w:p>
      <w:pPr>
        <w:pStyle w:val="52"/>
        <w:numPr>
          <w:ilvl w:val="0"/>
          <w:numId w:val="3"/>
        </w:numPr>
        <w:spacing w:line="360" w:lineRule="auto"/>
        <w:ind w:left="720" w:firstLineChars="0" w:firstLine="0"/>
        <w:jc w:val="center"/>
        <w:rPr>
          <w:rFonts w:ascii="黑体" w:eastAsia="黑体" w:cs="宋体" w:hAnsi="黑体"/>
          <w:b/>
          <w:kern w:val="0"/>
          <w:sz w:val="32"/>
          <w:szCs w:val="32"/>
        </w:rPr>
      </w:pPr>
      <w:r>
        <w:rPr>
          <w:rFonts w:ascii="黑体" w:eastAsia="黑体" w:cs="宋体" w:hAnsi="黑体" w:hint="eastAsia"/>
          <w:b/>
          <w:kern w:val="0"/>
          <w:sz w:val="32"/>
          <w:szCs w:val="32"/>
        </w:rPr>
        <w:t>附则</w:t>
      </w:r>
    </w:p>
    <w:p>
      <w:pPr>
        <w:pStyle w:val="52"/>
        <w:spacing w:line="360" w:lineRule="auto"/>
        <w:rPr>
          <w:rFonts w:ascii="仿宋_GB2312" w:eastAsia="仿宋_GB2312" w:cs="宋体"/>
          <w:kern w:val="0"/>
          <w:sz w:val="32"/>
          <w:szCs w:val="32"/>
        </w:rPr>
      </w:pPr>
      <w:r>
        <w:rPr>
          <w:rFonts w:ascii="仿宋_GB2312" w:eastAsia="仿宋_GB2312" w:cs="宋体" w:hAnsi="宋体" w:hint="eastAsia"/>
          <w:b/>
          <w:bCs/>
          <w:kern w:val="0"/>
          <w:sz w:val="32"/>
          <w:szCs w:val="32"/>
        </w:rPr>
        <w:t xml:space="preserve">第十九条 </w:t>
      </w:r>
      <w:r>
        <w:rPr>
          <w:rFonts w:ascii="仿宋_GB2312" w:eastAsia="仿宋_GB2312" w:cs="宋体" w:hAnsi="宋体" w:hint="eastAsia"/>
          <w:kern w:val="0"/>
          <w:sz w:val="32"/>
          <w:szCs w:val="32"/>
        </w:rPr>
        <w:t>已经投入使用但没有竣工验收的建筑幕墙应当达到鉴定后的安全要求；进行建筑幕墙的改、扩建的应当向建设行政主管部门办理相关手续。</w:t>
      </w:r>
    </w:p>
    <w:p>
      <w:pPr>
        <w:pStyle w:val="52"/>
        <w:spacing w:line="360" w:lineRule="auto"/>
        <w:rPr>
          <w:rFonts w:ascii="仿宋_GB2312" w:eastAsia="仿宋_GB2312" w:cs="宋体"/>
          <w:kern w:val="0"/>
          <w:sz w:val="32"/>
          <w:szCs w:val="32"/>
        </w:rPr>
      </w:pPr>
      <w:r>
        <w:rPr>
          <w:rFonts w:ascii="仿宋_GB2312" w:eastAsia="仿宋_GB2312" w:cs="宋体" w:hAnsi="宋体" w:hint="eastAsia"/>
          <w:b/>
          <w:bCs/>
          <w:kern w:val="0"/>
          <w:sz w:val="32"/>
          <w:szCs w:val="32"/>
        </w:rPr>
        <w:t>第二十条</w:t>
      </w:r>
      <w:r>
        <w:rPr>
          <w:rFonts w:ascii="仿宋_GB2312" w:eastAsia="仿宋_GB2312" w:cs="宋体" w:hAnsi="宋体" w:hint="eastAsia"/>
          <w:kern w:val="0"/>
          <w:sz w:val="32"/>
          <w:szCs w:val="32"/>
        </w:rPr>
        <w:t xml:space="preserve"> 本办法由市房屋安全行政主管部门负责解释。</w:t>
      </w:r>
    </w:p>
    <w:p>
      <w:pPr>
        <w:pStyle w:val="52"/>
        <w:spacing w:line="360" w:lineRule="auto"/>
        <w:rPr>
          <w:rFonts w:ascii="仿宋_GB2312" w:eastAsia="仿宋_GB2312" w:cs="宋体"/>
          <w:kern w:val="0"/>
          <w:sz w:val="32"/>
          <w:szCs w:val="32"/>
        </w:rPr>
      </w:pPr>
      <w:r>
        <w:rPr>
          <w:rFonts w:ascii="仿宋_GB2312" w:eastAsia="仿宋_GB2312" w:cs="宋体" w:hAnsi="宋体" w:hint="eastAsia"/>
          <w:b/>
          <w:bCs/>
          <w:kern w:val="0"/>
          <w:sz w:val="32"/>
          <w:szCs w:val="32"/>
        </w:rPr>
        <w:t xml:space="preserve">第二十一条 </w:t>
      </w:r>
      <w:r>
        <w:rPr>
          <w:rFonts w:ascii="仿宋_GB2312" w:eastAsia="仿宋_GB2312" w:cs="宋体" w:hAnsi="宋体" w:hint="eastAsia"/>
          <w:kern w:val="0"/>
          <w:sz w:val="32"/>
          <w:szCs w:val="32"/>
        </w:rPr>
        <w:t>本办法自2020年3月1日起施行，有效期至202</w:t>
      </w:r>
      <w:r>
        <w:rPr>
          <w:rFonts w:ascii="仿宋_GB2312" w:eastAsia="仿宋_GB2312" w:cs="宋体" w:hAnsi="宋体"/>
          <w:kern w:val="0"/>
          <w:sz w:val="32"/>
          <w:szCs w:val="32"/>
        </w:rPr>
        <w:t>8</w:t>
      </w:r>
      <w:r>
        <w:rPr>
          <w:rFonts w:ascii="仿宋_GB2312" w:eastAsia="仿宋_GB2312" w:cs="宋体" w:hAnsi="宋体" w:hint="eastAsia"/>
          <w:kern w:val="0"/>
          <w:sz w:val="32"/>
          <w:szCs w:val="32"/>
        </w:rPr>
        <w:t>年</w:t>
      </w:r>
      <w:r>
        <w:rPr>
          <w:rFonts w:ascii="仿宋_GB2312" w:eastAsia="仿宋_GB2312" w:cs="宋体" w:hAnsi="宋体"/>
          <w:kern w:val="0"/>
          <w:sz w:val="32"/>
          <w:szCs w:val="32"/>
        </w:rPr>
        <w:t>8</w:t>
      </w:r>
      <w:r>
        <w:rPr>
          <w:rFonts w:ascii="仿宋_GB2312" w:eastAsia="仿宋_GB2312" w:cs="宋体" w:hAnsi="宋体" w:hint="eastAsia"/>
          <w:kern w:val="0"/>
          <w:sz w:val="32"/>
          <w:szCs w:val="32"/>
        </w:rPr>
        <w:t>月</w:t>
      </w:r>
      <w:r>
        <w:rPr>
          <w:rFonts w:ascii="仿宋_GB2312" w:eastAsia="仿宋_GB2312" w:cs="宋体" w:hAnsi="宋体"/>
          <w:kern w:val="0"/>
          <w:sz w:val="32"/>
          <w:szCs w:val="32"/>
        </w:rPr>
        <w:t>24</w:t>
      </w:r>
      <w:r>
        <w:rPr>
          <w:rFonts w:ascii="仿宋_GB2312" w:eastAsia="仿宋_GB2312" w:cs="宋体" w:hAnsi="宋体" w:hint="eastAsia"/>
          <w:kern w:val="0"/>
          <w:sz w:val="32"/>
          <w:szCs w:val="32"/>
        </w:rPr>
        <w:t>日止。</w:t>
      </w:r>
    </w:p>
    <w:p>
      <w:pPr>
        <w:snapToGrid w:val="0"/>
        <w:ind w:firstLineChars="200" w:firstLine="640"/>
        <w:rPr>
          <w:rFonts w:ascii="仿宋_GB2312" w:eastAsia="仿宋_GB2312" w:cs="仿宋_GB2312"/>
          <w:b/>
          <w:bCs/>
          <w:sz w:val="32"/>
          <w:szCs w:val="32"/>
        </w:rPr>
      </w:pPr>
    </w:p>
    <w:p>
      <w:pPr>
        <w:snapToGrid w:val="0"/>
        <w:ind w:firstLineChars="200" w:firstLine="640"/>
        <w:rPr>
          <w:rFonts w:ascii="宋体" w:cs="仿宋_GB2312"/>
          <w:b/>
          <w:bCs/>
          <w:sz w:val="32"/>
          <w:szCs w:val="32"/>
        </w:rPr>
      </w:pPr>
    </w:p>
    <w:p>
      <w:pPr>
        <w:snapToGrid w:val="0"/>
        <w:ind w:firstLineChars="200" w:firstLine="640"/>
        <w:rPr>
          <w:rFonts w:ascii="宋体" w:cs="仿宋_GB2312"/>
          <w:b/>
          <w:bCs/>
          <w:sz w:val="32"/>
          <w:szCs w:val="32"/>
        </w:rPr>
      </w:pPr>
    </w:p>
    <w:p>
      <w:pPr>
        <w:jc w:val="center"/>
        <w:rPr>
          <w:rFonts w:ascii="宋体" w:cs="仿宋_GB2312"/>
          <w:b/>
          <w:bCs/>
          <w:sz w:val="32"/>
          <w:szCs w:val="32"/>
        </w:rPr>
      </w:pPr>
    </w:p>
    <w:p>
      <w:pPr>
        <w:jc w:val="center"/>
        <w:rPr>
          <w:rFonts w:ascii="宋体" w:cs="仿宋_GB2312"/>
          <w:b/>
          <w:bCs/>
          <w:sz w:val="32"/>
          <w:szCs w:val="32"/>
        </w:rPr>
      </w:pPr>
    </w:p>
    <w:p>
      <w:pPr>
        <w:widowControl/>
        <w:jc w:val="left"/>
        <w:rPr>
          <w:rFonts w:ascii="宋体" w:cs="仿宋_GB2312"/>
          <w:b/>
          <w:bCs/>
          <w:sz w:val="32"/>
          <w:szCs w:val="32"/>
        </w:rPr>
      </w:pPr>
      <w:r>
        <w:rPr>
          <w:rFonts w:ascii="宋体" w:cs="仿宋_GB2312"/>
          <w:b/>
          <w:bCs/>
          <w:sz w:val="32"/>
          <w:szCs w:val="32"/>
        </w:rPr>
        <w:br w:type="page"/>
      </w:r>
    </w:p>
    <w:p>
      <w:pPr>
        <w:rPr>
          <w:rFonts w:ascii="黑体" w:eastAsia="黑体" w:hAnsi="黑体"/>
          <w:sz w:val="32"/>
          <w:szCs w:val="32"/>
        </w:rPr>
      </w:pPr>
      <w:r>
        <w:rPr>
          <w:rFonts w:ascii="黑体" w:eastAsia="黑体" w:cs="仿宋_GB2312" w:hAnsi="黑体" w:hint="eastAsia"/>
          <w:b/>
          <w:bCs/>
          <w:sz w:val="32"/>
          <w:szCs w:val="32"/>
        </w:rPr>
        <w:t>附件1</w:t>
      </w:r>
      <w:r>
        <w:rPr>
          <w:rFonts w:ascii="黑体" w:eastAsia="黑体" w:cs="仿宋_GB2312" w:hAnsi="黑体" w:hint="eastAsia"/>
          <w:sz w:val="32"/>
          <w:szCs w:val="32"/>
        </w:rPr>
        <w:t xml:space="preserve">： </w:t>
      </w:r>
      <w:r>
        <w:rPr>
          <w:rFonts w:ascii="黑体" w:eastAsia="黑体" w:hAnsi="黑体" w:hint="eastAsia"/>
          <w:sz w:val="32"/>
          <w:szCs w:val="32"/>
        </w:rPr>
        <w:t>南京市建筑幕墙安全检查工作要点</w:t>
      </w:r>
    </w:p>
    <w:p>
      <w:pPr>
        <w:pStyle w:val="55"/>
        <w:widowControl/>
        <w:numPr>
          <w:ilvl w:val="0"/>
          <w:numId w:val="4"/>
        </w:numPr>
        <w:spacing w:line="360" w:lineRule="auto"/>
        <w:ind w:left="476" w:hangingChars="170" w:hanging="476"/>
        <w:jc w:val="center"/>
        <w:outlineLvl w:val="0"/>
        <w:rPr>
          <w:rFonts w:ascii="Times New Roman" w:eastAsia="黑体" w:hAnsi="Times New Roman"/>
          <w:kern w:val="0"/>
          <w:sz w:val="28"/>
          <w:szCs w:val="28"/>
        </w:rPr>
      </w:pPr>
      <w:bookmarkStart w:id="0" w:name="_Toc325446106"/>
      <w:r>
        <w:rPr>
          <w:rFonts w:ascii="Times New Roman" w:eastAsia="黑体" w:hAnsi="Times New Roman" w:hint="eastAsia"/>
          <w:kern w:val="0"/>
          <w:sz w:val="28"/>
          <w:szCs w:val="28"/>
        </w:rPr>
        <w:t>总则</w:t>
      </w:r>
      <w:bookmarkEnd w:id="0"/>
    </w:p>
    <w:p>
      <w:pPr>
        <w:tabs>
          <w:tab w:val="left" w:pos="0"/>
        </w:tabs>
        <w:spacing w:line="360" w:lineRule="auto"/>
        <w:rPr>
          <w:rFonts w:ascii="仿宋" w:eastAsia="仿宋" w:hAnsi="仿宋"/>
          <w:sz w:val="28"/>
          <w:szCs w:val="28"/>
        </w:rPr>
      </w:pPr>
      <w:bookmarkStart w:id="1" w:name="_Toc294084925"/>
      <w:bookmarkStart w:id="2" w:name="_Toc323235001"/>
      <w:r>
        <w:rPr>
          <w:rFonts w:ascii="仿宋" w:eastAsia="仿宋" w:hAnsi="仿宋"/>
          <w:sz w:val="28"/>
          <w:szCs w:val="28"/>
        </w:rPr>
        <w:t xml:space="preserve">1.1  </w:t>
      </w:r>
      <w:r>
        <w:rPr>
          <w:rFonts w:ascii="仿宋" w:eastAsia="仿宋" w:hAnsi="仿宋" w:hint="eastAsia"/>
          <w:sz w:val="28"/>
          <w:szCs w:val="28"/>
        </w:rPr>
        <w:t>本工作要点主要用于指导开展本市建筑幕墙安全检查工作。安全检查是指对使用</w:t>
      </w:r>
      <w:r>
        <w:rPr>
          <w:rFonts w:ascii="仿宋" w:eastAsia="仿宋" w:hAnsi="仿宋"/>
          <w:sz w:val="28"/>
          <w:szCs w:val="28"/>
        </w:rPr>
        <w:t>3</w:t>
      </w:r>
      <w:r>
        <w:rPr>
          <w:rFonts w:ascii="仿宋" w:eastAsia="仿宋" w:hAnsi="仿宋" w:hint="eastAsia"/>
          <w:sz w:val="28"/>
          <w:szCs w:val="28"/>
        </w:rPr>
        <w:t>年及以上建筑幕墙的安全使用状况进行详细检查（必要时可采用辅助设备）。</w:t>
      </w:r>
    </w:p>
    <w:p>
      <w:pPr>
        <w:tabs>
          <w:tab w:val="left" w:pos="0"/>
        </w:tabs>
        <w:spacing w:line="360" w:lineRule="auto"/>
        <w:rPr>
          <w:rFonts w:ascii="仿宋" w:eastAsia="仿宋" w:hAnsi="仿宋"/>
          <w:sz w:val="28"/>
          <w:szCs w:val="28"/>
        </w:rPr>
      </w:pPr>
      <w:r>
        <w:rPr>
          <w:rFonts w:ascii="仿宋" w:eastAsia="仿宋" w:hAnsi="仿宋"/>
          <w:sz w:val="28"/>
          <w:szCs w:val="28"/>
        </w:rPr>
        <w:t xml:space="preserve">1.2  </w:t>
      </w:r>
      <w:r>
        <w:rPr>
          <w:rFonts w:ascii="仿宋" w:eastAsia="仿宋" w:hAnsi="仿宋" w:hint="eastAsia"/>
          <w:sz w:val="28"/>
          <w:szCs w:val="28"/>
        </w:rPr>
        <w:t>本市建筑幕墙的安全检查分为日常检查和专业检查。日常检查选用对幕墙结构无损伤的检查方法，由业主或其委托的物业服务企业的工程技术人员实施；专业检查应由具备相应资质或技术能力的专业单位（以下简称专业单位）进行；鼓励业主委托第三方主业单位提供建筑幕墙安全检查的技术服务。</w:t>
      </w:r>
    </w:p>
    <w:p>
      <w:pPr>
        <w:tabs>
          <w:tab w:val="left" w:pos="567"/>
        </w:tabs>
        <w:spacing w:line="360" w:lineRule="auto"/>
        <w:rPr>
          <w:rFonts w:ascii="仿宋" w:eastAsia="仿宋" w:hAnsi="仿宋"/>
          <w:sz w:val="28"/>
          <w:szCs w:val="28"/>
        </w:rPr>
      </w:pPr>
      <w:r>
        <w:rPr>
          <w:rFonts w:ascii="仿宋" w:eastAsia="仿宋" w:hAnsi="仿宋"/>
          <w:sz w:val="28"/>
          <w:szCs w:val="28"/>
        </w:rPr>
        <w:t xml:space="preserve">1.3  </w:t>
      </w:r>
      <w:r>
        <w:rPr>
          <w:rFonts w:ascii="仿宋" w:eastAsia="仿宋" w:hAnsi="仿宋" w:hint="eastAsia"/>
          <w:sz w:val="28"/>
          <w:szCs w:val="28"/>
        </w:rPr>
        <w:t>本市建筑幕墙的安全检查，除应符合本工作要点外，还应符合国家、省、市有关标准规范的规定。</w:t>
      </w:r>
    </w:p>
    <w:p>
      <w:pPr>
        <w:spacing w:line="360" w:lineRule="auto"/>
        <w:rPr>
          <w:szCs w:val="21"/>
        </w:rPr>
      </w:pPr>
    </w:p>
    <w:p>
      <w:pPr>
        <w:pStyle w:val="55"/>
        <w:widowControl/>
        <w:spacing w:line="360" w:lineRule="auto"/>
        <w:ind w:left="360" w:firstLineChars="0" w:firstLine="0"/>
        <w:jc w:val="center"/>
        <w:rPr>
          <w:rFonts w:ascii="Times New Roman" w:eastAsia="黑体" w:hAnsi="Times New Roman"/>
          <w:b/>
          <w:bCs/>
          <w:kern w:val="0"/>
          <w:szCs w:val="21"/>
        </w:rPr>
        <w:sectPr>
          <w:headerReference w:type="default" r:id="rId2"/>
          <w:footerReference w:type="default" r:id="rId3"/>
          <w:pgSz w:w="11907" w:h="16839"/>
          <w:pgMar w:top="1418" w:right="1440" w:bottom="1418" w:left="1440" w:header="720" w:footer="720" w:gutter="0"/>
          <w:pgNumType w:start="1"/>
          <w:cols w:num="1" w:space="720"/>
          <w:docGrid w:linePitch="286" w:charSpace="0"/>
        </w:sectPr>
      </w:pPr>
    </w:p>
    <w:p>
      <w:pPr>
        <w:pStyle w:val="55"/>
        <w:widowControl/>
        <w:numPr>
          <w:ilvl w:val="0"/>
          <w:numId w:val="4"/>
        </w:numPr>
        <w:spacing w:line="360" w:lineRule="auto"/>
        <w:ind w:left="476" w:hangingChars="170" w:hanging="476"/>
        <w:jc w:val="center"/>
        <w:outlineLvl w:val="0"/>
        <w:rPr>
          <w:rFonts w:ascii="Times New Roman" w:eastAsia="黑体" w:hAnsi="Times New Roman"/>
          <w:bCs/>
          <w:kern w:val="0"/>
          <w:sz w:val="28"/>
          <w:szCs w:val="28"/>
        </w:rPr>
        <w:sectPr>
          <w:type w:val="continuous"/>
          <w:pgSz w:w="11907" w:h="16839"/>
          <w:pgMar w:top="1418" w:right="1440" w:bottom="1418" w:left="1440" w:header="720" w:footer="720" w:gutter="0"/>
          <w:pgNumType/>
          <w:cols w:num="1" w:space="720"/>
          <w:docGrid w:linePitch="312" w:charSpace="0"/>
        </w:sectPr>
      </w:pPr>
    </w:p>
    <w:p>
      <w:pPr>
        <w:pStyle w:val="55"/>
        <w:widowControl/>
        <w:numPr>
          <w:ilvl w:val="0"/>
          <w:numId w:val="4"/>
        </w:numPr>
        <w:spacing w:line="360" w:lineRule="auto"/>
        <w:ind w:left="476" w:hangingChars="170" w:hanging="476"/>
        <w:jc w:val="center"/>
        <w:outlineLvl w:val="0"/>
        <w:rPr>
          <w:rFonts w:ascii="Times New Roman" w:hAnsi="Times New Roman"/>
          <w:kern w:val="0"/>
          <w:sz w:val="28"/>
          <w:szCs w:val="28"/>
        </w:rPr>
      </w:pPr>
      <w:bookmarkStart w:id="3" w:name="_Toc325446107"/>
      <w:r>
        <w:rPr>
          <w:rFonts w:ascii="Times New Roman" w:eastAsia="黑体" w:hAnsi="Times New Roman" w:hint="eastAsia"/>
          <w:kern w:val="0"/>
          <w:sz w:val="28"/>
          <w:szCs w:val="28"/>
        </w:rPr>
        <w:t>术语</w:t>
      </w:r>
      <w:bookmarkEnd w:id="3"/>
    </w:p>
    <w:p>
      <w:pPr>
        <w:spacing w:line="500" w:lineRule="exact"/>
        <w:jc w:val="left"/>
        <w:rPr>
          <w:rFonts w:ascii="仿宋" w:eastAsia="仿宋" w:hAnsi="仿宋"/>
          <w:sz w:val="28"/>
          <w:szCs w:val="28"/>
        </w:rPr>
      </w:pPr>
      <w:r>
        <w:rPr>
          <w:rFonts w:ascii="仿宋" w:eastAsia="仿宋" w:hAnsi="仿宋"/>
          <w:sz w:val="28"/>
          <w:szCs w:val="28"/>
        </w:rPr>
        <w:t xml:space="preserve">2.1  </w:t>
      </w:r>
      <w:r>
        <w:rPr>
          <w:rFonts w:ascii="仿宋" w:eastAsia="仿宋" w:hAnsi="仿宋" w:hint="eastAsia"/>
          <w:sz w:val="28"/>
          <w:szCs w:val="28"/>
        </w:rPr>
        <w:t>建筑幕墙</w:t>
      </w:r>
      <w:r>
        <w:rPr>
          <w:rFonts w:ascii="仿宋" w:eastAsia="仿宋" w:hAnsi="仿宋"/>
          <w:sz w:val="28"/>
          <w:szCs w:val="28"/>
        </w:rPr>
        <w:t xml:space="preserve"> existing building curtain wall</w:t>
      </w:r>
    </w:p>
    <w:p>
      <w:pPr>
        <w:spacing w:line="500" w:lineRule="exact"/>
        <w:ind w:firstLineChars="200" w:firstLine="560"/>
        <w:jc w:val="left"/>
        <w:rPr>
          <w:rFonts w:ascii="仿宋" w:eastAsia="仿宋" w:hAnsi="仿宋"/>
          <w:sz w:val="28"/>
          <w:szCs w:val="28"/>
        </w:rPr>
      </w:pPr>
      <w:r>
        <w:rPr>
          <w:rFonts w:ascii="仿宋" w:eastAsia="仿宋" w:hAnsi="仿宋" w:hint="eastAsia"/>
          <w:sz w:val="28"/>
          <w:szCs w:val="28"/>
        </w:rPr>
        <w:t>已竣工验收或交付使用的建筑幕墙。包括玻璃幕墙、石材幕墙、金属板幕墙以及瓷板、陶板、微晶玻璃板、石材蜂窝板等人造板材幕墙，以及包含以上各类面板材料的组合幕墙。</w:t>
      </w:r>
    </w:p>
    <w:p>
      <w:pPr>
        <w:spacing w:line="500" w:lineRule="exact"/>
        <w:jc w:val="left"/>
        <w:rPr>
          <w:rFonts w:ascii="仿宋" w:eastAsia="仿宋" w:hAnsi="仿宋"/>
          <w:sz w:val="28"/>
          <w:szCs w:val="28"/>
        </w:rPr>
      </w:pPr>
      <w:r>
        <w:rPr>
          <w:rFonts w:ascii="仿宋" w:eastAsia="仿宋" w:hAnsi="仿宋"/>
          <w:sz w:val="28"/>
          <w:szCs w:val="28"/>
        </w:rPr>
        <w:t xml:space="preserve">2.2 </w:t>
      </w:r>
      <w:r>
        <w:rPr>
          <w:rFonts w:ascii="仿宋" w:eastAsia="仿宋" w:hAnsi="仿宋" w:hint="eastAsia"/>
          <w:sz w:val="28"/>
          <w:szCs w:val="28"/>
        </w:rPr>
        <w:t>装饰构件</w:t>
      </w:r>
      <w:r>
        <w:rPr>
          <w:rFonts w:ascii="仿宋" w:eastAsia="仿宋" w:hAnsi="仿宋"/>
          <w:sz w:val="28"/>
          <w:szCs w:val="28"/>
        </w:rPr>
        <w:t xml:space="preserve"> outside member</w:t>
      </w:r>
    </w:p>
    <w:p>
      <w:pPr>
        <w:spacing w:line="500" w:lineRule="exact"/>
        <w:jc w:val="left"/>
        <w:rPr>
          <w:rFonts w:ascii="仿宋" w:eastAsia="仿宋" w:hAnsi="仿宋"/>
          <w:sz w:val="28"/>
          <w:szCs w:val="28"/>
        </w:rPr>
      </w:pPr>
      <w:r>
        <w:rPr>
          <w:rFonts w:ascii="仿宋" w:eastAsia="仿宋" w:hAnsi="仿宋" w:hint="eastAsia"/>
          <w:sz w:val="28"/>
          <w:szCs w:val="28"/>
        </w:rPr>
        <w:t>安装在建筑幕墙立面室外侧的构件，包括外遮阳、装饰条、装饰件、灯光设施等。</w:t>
      </w:r>
    </w:p>
    <w:p>
      <w:pPr>
        <w:spacing w:line="500" w:lineRule="exact"/>
        <w:jc w:val="left"/>
        <w:rPr>
          <w:rFonts w:ascii="仿宋" w:eastAsia="仿宋" w:hAnsi="仿宋"/>
          <w:sz w:val="28"/>
          <w:szCs w:val="28"/>
        </w:rPr>
      </w:pPr>
      <w:r>
        <w:rPr>
          <w:rFonts w:ascii="仿宋" w:eastAsia="仿宋" w:hAnsi="仿宋"/>
          <w:sz w:val="28"/>
          <w:szCs w:val="28"/>
        </w:rPr>
        <w:t xml:space="preserve">2.3 </w:t>
      </w:r>
      <w:r>
        <w:rPr>
          <w:rFonts w:ascii="仿宋" w:eastAsia="仿宋" w:hAnsi="仿宋" w:hint="eastAsia"/>
          <w:sz w:val="28"/>
          <w:szCs w:val="28"/>
        </w:rPr>
        <w:t>受力构件</w:t>
      </w:r>
      <w:r>
        <w:rPr>
          <w:rFonts w:ascii="仿宋" w:eastAsia="仿宋" w:hAnsi="仿宋"/>
          <w:sz w:val="28"/>
          <w:szCs w:val="28"/>
        </w:rPr>
        <w:t xml:space="preserve"> load-bearing member</w:t>
      </w:r>
    </w:p>
    <w:p>
      <w:pPr>
        <w:spacing w:line="500" w:lineRule="exact"/>
        <w:ind w:firstLineChars="200" w:firstLine="560"/>
        <w:jc w:val="left"/>
        <w:rPr>
          <w:rFonts w:ascii="仿宋" w:eastAsia="仿宋" w:hAnsi="仿宋"/>
          <w:sz w:val="28"/>
          <w:szCs w:val="28"/>
        </w:rPr>
      </w:pPr>
      <w:r>
        <w:rPr>
          <w:rFonts w:ascii="仿宋" w:eastAsia="仿宋" w:hAnsi="仿宋" w:hint="eastAsia"/>
          <w:sz w:val="28"/>
          <w:szCs w:val="28"/>
        </w:rPr>
        <w:t>构成建筑幕墙结构体系的支承构件，包括立柱、横梁、单元板块框架、索杆张拉支承结构、全玻及点支幕墙肋板等。</w:t>
      </w:r>
    </w:p>
    <w:p>
      <w:pPr>
        <w:spacing w:line="500" w:lineRule="exact"/>
        <w:jc w:val="left"/>
        <w:rPr>
          <w:rFonts w:ascii="仿宋" w:eastAsia="仿宋" w:hAnsi="仿宋"/>
          <w:sz w:val="28"/>
          <w:szCs w:val="28"/>
        </w:rPr>
      </w:pPr>
      <w:r>
        <w:rPr>
          <w:rFonts w:ascii="仿宋" w:eastAsia="仿宋" w:hAnsi="仿宋"/>
          <w:sz w:val="28"/>
          <w:szCs w:val="28"/>
        </w:rPr>
        <w:t xml:space="preserve">2.4 </w:t>
      </w:r>
      <w:r>
        <w:rPr>
          <w:rFonts w:ascii="仿宋" w:eastAsia="仿宋" w:hAnsi="仿宋" w:hint="eastAsia"/>
          <w:sz w:val="28"/>
          <w:szCs w:val="28"/>
        </w:rPr>
        <w:t>连接构造</w:t>
      </w:r>
      <w:r>
        <w:rPr>
          <w:rFonts w:ascii="仿宋" w:eastAsia="仿宋" w:hAnsi="仿宋"/>
          <w:sz w:val="28"/>
          <w:szCs w:val="28"/>
        </w:rPr>
        <w:t xml:space="preserve"> connecting structure</w:t>
      </w:r>
    </w:p>
    <w:p>
      <w:pPr>
        <w:spacing w:line="500" w:lineRule="exact"/>
        <w:ind w:firstLineChars="200" w:firstLine="560"/>
        <w:jc w:val="left"/>
        <w:rPr>
          <w:rFonts w:ascii="仿宋" w:eastAsia="仿宋" w:hAnsi="仿宋"/>
          <w:sz w:val="28"/>
          <w:szCs w:val="28"/>
        </w:rPr>
      </w:pPr>
      <w:r>
        <w:rPr>
          <w:rFonts w:ascii="仿宋" w:eastAsia="仿宋" w:hAnsi="仿宋" w:hint="eastAsia"/>
          <w:sz w:val="28"/>
          <w:szCs w:val="28"/>
        </w:rPr>
        <w:t>建筑幕墙结构体系中受力构件间、受力构件与主体、受力构件与面板的连接附件及紧固件，包括硅酮结构密封胶粘接装配。</w:t>
      </w:r>
    </w:p>
    <w:p>
      <w:pPr>
        <w:spacing w:line="500" w:lineRule="exact"/>
        <w:jc w:val="left"/>
        <w:rPr>
          <w:rFonts w:ascii="仿宋" w:eastAsia="仿宋" w:hAnsi="仿宋"/>
          <w:sz w:val="28"/>
          <w:szCs w:val="28"/>
        </w:rPr>
      </w:pPr>
      <w:r>
        <w:rPr>
          <w:rFonts w:ascii="仿宋" w:eastAsia="仿宋" w:hAnsi="仿宋"/>
          <w:sz w:val="28"/>
          <w:szCs w:val="28"/>
        </w:rPr>
        <w:t xml:space="preserve">2.5 </w:t>
      </w:r>
      <w:r>
        <w:rPr>
          <w:rFonts w:ascii="仿宋" w:eastAsia="仿宋" w:hAnsi="仿宋" w:hint="eastAsia"/>
          <w:sz w:val="28"/>
          <w:szCs w:val="28"/>
        </w:rPr>
        <w:t>功能性构造</w:t>
      </w:r>
      <w:r>
        <w:rPr>
          <w:rFonts w:ascii="仿宋" w:eastAsia="仿宋" w:hAnsi="仿宋"/>
          <w:sz w:val="28"/>
          <w:szCs w:val="28"/>
        </w:rPr>
        <w:t xml:space="preserve">  functional construction</w:t>
      </w:r>
    </w:p>
    <w:p>
      <w:pPr>
        <w:spacing w:line="500" w:lineRule="exact"/>
        <w:ind w:firstLineChars="200" w:firstLine="560"/>
        <w:jc w:val="left"/>
        <w:rPr>
          <w:rFonts w:ascii="仿宋" w:eastAsia="仿宋" w:hAnsi="仿宋"/>
          <w:sz w:val="28"/>
          <w:szCs w:val="28"/>
        </w:rPr>
      </w:pPr>
      <w:r>
        <w:rPr>
          <w:rFonts w:ascii="仿宋" w:eastAsia="仿宋" w:hAnsi="仿宋" w:hint="eastAsia"/>
          <w:sz w:val="28"/>
          <w:szCs w:val="28"/>
        </w:rPr>
        <w:t>建筑幕墙结构体系中为达到某种功能（包括密封、防水、防火、防雷、沉降、位移等）要求而采取的细部结构形式。</w:t>
      </w:r>
    </w:p>
    <w:p>
      <w:pPr>
        <w:tabs>
          <w:tab w:val="left" w:pos="567"/>
        </w:tabs>
        <w:spacing w:line="360" w:lineRule="auto"/>
        <w:ind w:firstLineChars="200" w:firstLine="420"/>
        <w:rPr>
          <w:szCs w:val="21"/>
        </w:rPr>
      </w:pPr>
    </w:p>
    <w:p>
      <w:pPr>
        <w:tabs>
          <w:tab w:val="left" w:pos="567"/>
        </w:tabs>
        <w:spacing w:line="360" w:lineRule="auto"/>
        <w:ind w:firstLineChars="200" w:firstLine="420"/>
        <w:rPr>
          <w:szCs w:val="21"/>
        </w:rPr>
      </w:pPr>
    </w:p>
    <w:p>
      <w:pPr>
        <w:tabs>
          <w:tab w:val="left" w:pos="567"/>
        </w:tabs>
        <w:spacing w:line="360" w:lineRule="auto"/>
        <w:ind w:firstLineChars="200" w:firstLine="420"/>
        <w:rPr>
          <w:szCs w:val="21"/>
        </w:rPr>
      </w:pPr>
    </w:p>
    <w:p>
      <w:pPr>
        <w:pStyle w:val="55"/>
        <w:widowControl/>
        <w:spacing w:line="360" w:lineRule="auto"/>
        <w:ind w:firstLineChars="0" w:firstLine="420"/>
        <w:jc w:val="center"/>
        <w:outlineLvl w:val="0"/>
        <w:rPr>
          <w:rFonts w:ascii="Times New Roman" w:eastAsia="黑体" w:hAnsi="Times New Roman"/>
          <w:b/>
          <w:bCs/>
          <w:kern w:val="0"/>
          <w:szCs w:val="21"/>
        </w:rPr>
      </w:pPr>
    </w:p>
    <w:p>
      <w:pPr>
        <w:pStyle w:val="55"/>
        <w:widowControl/>
        <w:spacing w:line="360" w:lineRule="auto"/>
        <w:ind w:firstLineChars="0" w:firstLine="420"/>
        <w:jc w:val="center"/>
        <w:outlineLvl w:val="0"/>
        <w:rPr>
          <w:rFonts w:ascii="Times New Roman" w:eastAsia="黑体" w:hAnsi="Times New Roman"/>
          <w:b/>
          <w:bCs/>
          <w:kern w:val="0"/>
          <w:szCs w:val="21"/>
        </w:rPr>
      </w:pPr>
    </w:p>
    <w:p>
      <w:pPr>
        <w:pStyle w:val="55"/>
        <w:widowControl/>
        <w:spacing w:line="360" w:lineRule="auto"/>
        <w:ind w:firstLineChars="0" w:firstLine="420"/>
        <w:jc w:val="center"/>
        <w:outlineLvl w:val="0"/>
        <w:rPr>
          <w:rFonts w:ascii="Times New Roman" w:eastAsia="黑体" w:hAnsi="Times New Roman"/>
          <w:b/>
          <w:bCs/>
          <w:kern w:val="0"/>
          <w:szCs w:val="21"/>
        </w:rPr>
      </w:pPr>
    </w:p>
    <w:p>
      <w:pPr>
        <w:pStyle w:val="55"/>
        <w:widowControl/>
        <w:spacing w:line="360" w:lineRule="auto"/>
        <w:ind w:firstLineChars="0" w:firstLine="420"/>
        <w:jc w:val="center"/>
        <w:outlineLvl w:val="0"/>
        <w:rPr>
          <w:rFonts w:ascii="Times New Roman" w:eastAsia="黑体" w:hAnsi="Times New Roman"/>
          <w:b/>
          <w:bCs/>
          <w:kern w:val="0"/>
          <w:szCs w:val="21"/>
        </w:rPr>
      </w:pPr>
    </w:p>
    <w:p>
      <w:pPr>
        <w:pStyle w:val="55"/>
        <w:widowControl/>
        <w:spacing w:line="360" w:lineRule="auto"/>
        <w:ind w:firstLineChars="0" w:firstLine="420"/>
        <w:jc w:val="center"/>
        <w:outlineLvl w:val="0"/>
        <w:rPr>
          <w:rFonts w:ascii="Times New Roman" w:eastAsia="黑体" w:hAnsi="Times New Roman"/>
          <w:b/>
          <w:bCs/>
          <w:kern w:val="0"/>
          <w:szCs w:val="21"/>
        </w:rPr>
        <w:sectPr>
          <w:pgSz w:w="11907" w:h="16839"/>
          <w:pgMar w:top="1418" w:right="1440" w:bottom="1418" w:left="1440" w:header="720" w:footer="720" w:gutter="0"/>
          <w:pgNumType/>
          <w:cols w:num="1" w:space="720"/>
          <w:docGrid w:linePitch="312" w:charSpace="0"/>
        </w:sectPr>
      </w:pPr>
    </w:p>
    <w:p>
      <w:pPr>
        <w:pStyle w:val="55"/>
        <w:widowControl/>
        <w:spacing w:line="360" w:lineRule="auto"/>
        <w:ind w:left="476" w:firstLineChars="0" w:firstLine="0"/>
        <w:jc w:val="center"/>
        <w:outlineLvl w:val="0"/>
        <w:rPr>
          <w:rFonts w:ascii="Times New Roman" w:eastAsia="黑体" w:hAnsi="Times New Roman"/>
          <w:bCs/>
          <w:kern w:val="0"/>
          <w:sz w:val="28"/>
          <w:szCs w:val="28"/>
        </w:rPr>
        <w:sectPr>
          <w:type w:val="continuous"/>
          <w:pgSz w:w="11907" w:h="16839"/>
          <w:pgMar w:top="1418" w:right="1440" w:bottom="1418" w:left="1440" w:header="720" w:footer="720" w:gutter="0"/>
          <w:pgNumType/>
          <w:cols w:num="1" w:space="720"/>
          <w:docGrid w:linePitch="312" w:charSpace="0"/>
        </w:sectPr>
      </w:pPr>
    </w:p>
    <w:p>
      <w:pPr>
        <w:pStyle w:val="55"/>
        <w:widowControl/>
        <w:spacing w:line="360" w:lineRule="auto"/>
        <w:ind w:left="546" w:firstLineChars="0" w:firstLine="0"/>
        <w:jc w:val="center"/>
        <w:outlineLvl w:val="0"/>
        <w:rPr>
          <w:rFonts w:ascii="黑体" w:eastAsia="黑体" w:hAnsi="黑体"/>
          <w:b/>
          <w:bCs/>
          <w:kern w:val="0"/>
          <w:sz w:val="32"/>
          <w:szCs w:val="32"/>
        </w:rPr>
      </w:pPr>
      <w:bookmarkStart w:id="4" w:name="_Toc325446108"/>
    </w:p>
    <w:p>
      <w:pPr>
        <w:pStyle w:val="55"/>
        <w:widowControl/>
        <w:spacing w:line="360" w:lineRule="auto"/>
        <w:ind w:left="546" w:firstLineChars="0" w:firstLine="0"/>
        <w:jc w:val="center"/>
        <w:outlineLvl w:val="0"/>
        <w:rPr>
          <w:rFonts w:ascii="黑体" w:eastAsia="黑体" w:hAnsi="黑体"/>
          <w:b/>
          <w:bCs/>
          <w:kern w:val="0"/>
          <w:sz w:val="32"/>
          <w:szCs w:val="32"/>
        </w:rPr>
      </w:pPr>
    </w:p>
    <w:p>
      <w:pPr>
        <w:pStyle w:val="55"/>
        <w:widowControl/>
        <w:spacing w:line="360" w:lineRule="auto"/>
        <w:ind w:left="546" w:firstLineChars="0" w:firstLine="0"/>
        <w:jc w:val="center"/>
        <w:outlineLvl w:val="0"/>
        <w:rPr>
          <w:rFonts w:ascii="黑体" w:eastAsia="黑体" w:hAnsi="黑体"/>
          <w:b/>
          <w:bCs/>
          <w:kern w:val="0"/>
          <w:sz w:val="32"/>
          <w:szCs w:val="32"/>
        </w:rPr>
      </w:pPr>
    </w:p>
    <w:p>
      <w:pPr>
        <w:pStyle w:val="55"/>
        <w:widowControl/>
        <w:spacing w:line="360" w:lineRule="auto"/>
        <w:ind w:left="546" w:firstLineChars="0" w:firstLine="0"/>
        <w:jc w:val="center"/>
        <w:outlineLvl w:val="0"/>
        <w:rPr>
          <w:rFonts w:ascii="黑体" w:eastAsia="黑体" w:hAnsi="黑体"/>
          <w:b/>
          <w:bCs/>
          <w:kern w:val="0"/>
          <w:sz w:val="32"/>
          <w:szCs w:val="32"/>
        </w:rPr>
      </w:pPr>
    </w:p>
    <w:p>
      <w:pPr>
        <w:pStyle w:val="55"/>
        <w:widowControl/>
        <w:spacing w:line="360" w:lineRule="auto"/>
        <w:ind w:left="546" w:firstLineChars="0" w:firstLine="0"/>
        <w:jc w:val="center"/>
        <w:outlineLvl w:val="0"/>
        <w:rPr>
          <w:rFonts w:ascii="黑体" w:eastAsia="黑体" w:hAnsi="黑体"/>
          <w:b/>
          <w:bCs/>
          <w:kern w:val="0"/>
          <w:sz w:val="32"/>
          <w:szCs w:val="32"/>
        </w:rPr>
      </w:pPr>
      <w:r>
        <w:rPr>
          <w:rFonts w:ascii="黑体" w:eastAsia="黑体" w:hAnsi="黑体"/>
          <w:b/>
          <w:bCs/>
          <w:kern w:val="0"/>
          <w:sz w:val="28"/>
          <w:szCs w:val="28"/>
        </w:rPr>
        <w:t>3</w:t>
      </w:r>
      <w:r>
        <w:rPr>
          <w:rFonts w:ascii="黑体" w:eastAsia="黑体" w:hAnsi="黑体" w:hint="eastAsia"/>
          <w:b/>
          <w:bCs/>
          <w:kern w:val="0"/>
          <w:sz w:val="28"/>
          <w:szCs w:val="28"/>
        </w:rPr>
        <w:t>一般要求</w:t>
      </w:r>
      <w:bookmarkEnd w:id="4"/>
    </w:p>
    <w:p>
      <w:pPr>
        <w:spacing w:line="360" w:lineRule="auto"/>
        <w:rPr>
          <w:rFonts w:ascii="仿宋" w:eastAsia="仿宋" w:hAnsi="仿宋"/>
          <w:sz w:val="28"/>
          <w:szCs w:val="28"/>
        </w:rPr>
      </w:pPr>
      <w:bookmarkEnd w:id="1"/>
      <w:bookmarkEnd w:id="2"/>
      <w:r>
        <w:rPr>
          <w:rFonts w:ascii="仿宋" w:eastAsia="仿宋" w:hAnsi="仿宋"/>
          <w:sz w:val="28"/>
          <w:szCs w:val="28"/>
        </w:rPr>
        <w:t>3.1</w:t>
      </w:r>
      <w:r>
        <w:rPr>
          <w:rFonts w:ascii="仿宋" w:eastAsia="仿宋" w:hAnsi="仿宋" w:hint="eastAsia"/>
          <w:sz w:val="28"/>
          <w:szCs w:val="28"/>
        </w:rPr>
        <w:t>业主应对建筑幕墙全数检查，包括所有外立面及室内可见面，主要检查外露缺陷、破损和危及安全的异常现象。</w:t>
      </w:r>
    </w:p>
    <w:p>
      <w:pPr>
        <w:tabs>
          <w:tab w:val="left" w:pos="567"/>
        </w:tabs>
        <w:spacing w:line="360" w:lineRule="auto"/>
        <w:rPr>
          <w:rFonts w:ascii="仿宋" w:eastAsia="仿宋" w:hAnsi="仿宋"/>
          <w:sz w:val="28"/>
          <w:szCs w:val="28"/>
        </w:rPr>
      </w:pPr>
      <w:r>
        <w:rPr>
          <w:rFonts w:ascii="仿宋" w:eastAsia="仿宋" w:hAnsi="仿宋"/>
          <w:sz w:val="28"/>
          <w:szCs w:val="28"/>
        </w:rPr>
        <w:t xml:space="preserve">3.2 </w:t>
      </w:r>
      <w:r>
        <w:rPr>
          <w:rFonts w:ascii="仿宋" w:eastAsia="仿宋" w:hAnsi="仿宋" w:hint="eastAsia"/>
          <w:sz w:val="28"/>
          <w:szCs w:val="28"/>
        </w:rPr>
        <w:t>建筑幕墙安全检查，应重点检查临近道路、广场及下部为出入口、人员通道的建筑立面和部位。</w:t>
      </w:r>
    </w:p>
    <w:p>
      <w:pPr>
        <w:pStyle w:val="55"/>
        <w:widowControl/>
        <w:tabs>
          <w:tab w:val="left" w:pos="567"/>
        </w:tabs>
        <w:spacing w:line="360" w:lineRule="auto"/>
        <w:ind w:firstLineChars="0" w:firstLine="0"/>
        <w:jc w:val="left"/>
        <w:rPr>
          <w:rFonts w:ascii="仿宋" w:eastAsia="仿宋" w:hAnsi="仿宋"/>
          <w:sz w:val="28"/>
          <w:szCs w:val="28"/>
        </w:rPr>
      </w:pPr>
      <w:r>
        <w:rPr>
          <w:rFonts w:ascii="仿宋" w:eastAsia="仿宋" w:hAnsi="仿宋"/>
          <w:sz w:val="28"/>
          <w:szCs w:val="28"/>
        </w:rPr>
        <w:t xml:space="preserve">3.3  </w:t>
      </w:r>
      <w:r>
        <w:rPr>
          <w:rFonts w:ascii="仿宋" w:eastAsia="仿宋" w:hAnsi="仿宋" w:hint="eastAsia"/>
          <w:sz w:val="28"/>
          <w:szCs w:val="28"/>
        </w:rPr>
        <w:t>业主应建立建筑幕墙安全维护档案资料，安全维护档案资料应由建筑幕墙安全维护责任人或受委托单位保存备查：</w:t>
      </w:r>
    </w:p>
    <w:p>
      <w:pPr>
        <w:tabs>
          <w:tab w:val="left" w:pos="567"/>
        </w:tabs>
        <w:spacing w:line="500" w:lineRule="exact"/>
        <w:rPr>
          <w:rFonts w:ascii="仿宋" w:eastAsia="仿宋" w:hAnsi="仿宋"/>
          <w:sz w:val="28"/>
          <w:szCs w:val="28"/>
        </w:rPr>
      </w:pPr>
      <w:r>
        <w:rPr>
          <w:rFonts w:ascii="仿宋" w:eastAsia="仿宋" w:hAnsi="仿宋"/>
          <w:sz w:val="28"/>
          <w:szCs w:val="28"/>
        </w:rPr>
        <w:t xml:space="preserve">    1 </w:t>
      </w:r>
      <w:r>
        <w:rPr>
          <w:rFonts w:ascii="仿宋" w:eastAsia="仿宋" w:hAnsi="仿宋" w:hint="eastAsia"/>
          <w:sz w:val="28"/>
          <w:szCs w:val="28"/>
        </w:rPr>
        <w:t>工程技术资料</w:t>
      </w:r>
    </w:p>
    <w:p>
      <w:pPr>
        <w:spacing w:line="500" w:lineRule="exact"/>
        <w:ind w:firstLineChars="200" w:firstLine="560"/>
        <w:jc w:val="left"/>
        <w:rPr>
          <w:rFonts w:ascii="仿宋" w:eastAsia="仿宋" w:hAnsi="仿宋"/>
          <w:sz w:val="28"/>
          <w:szCs w:val="28"/>
        </w:rPr>
      </w:pPr>
      <w:r>
        <w:rPr>
          <w:rFonts w:ascii="仿宋" w:eastAsia="仿宋" w:hAnsi="仿宋" w:hint="eastAsia"/>
          <w:sz w:val="28"/>
          <w:szCs w:val="28"/>
        </w:rPr>
        <w:t>应包含建筑幕墙设计、施工、验收等相关资料、建筑幕墙使用维护说明书等文件的原件或复印件。</w:t>
      </w:r>
    </w:p>
    <w:p>
      <w:pPr>
        <w:spacing w:line="500" w:lineRule="exact"/>
        <w:ind w:firstLineChars="200" w:firstLine="560"/>
        <w:jc w:val="left"/>
        <w:rPr>
          <w:rFonts w:ascii="仿宋" w:eastAsia="仿宋" w:hAnsi="仿宋"/>
          <w:sz w:val="28"/>
          <w:szCs w:val="28"/>
        </w:rPr>
      </w:pPr>
      <w:r>
        <w:rPr>
          <w:rFonts w:ascii="仿宋" w:eastAsia="仿宋" w:hAnsi="仿宋"/>
          <w:sz w:val="28"/>
          <w:szCs w:val="28"/>
        </w:rPr>
        <w:t xml:space="preserve">2 </w:t>
      </w:r>
      <w:r>
        <w:rPr>
          <w:rFonts w:ascii="仿宋" w:eastAsia="仿宋" w:hAnsi="仿宋" w:hint="eastAsia"/>
          <w:sz w:val="28"/>
          <w:szCs w:val="28"/>
        </w:rPr>
        <w:t>安全维护管理资料</w:t>
      </w:r>
    </w:p>
    <w:p>
      <w:pPr>
        <w:spacing w:line="500" w:lineRule="exact"/>
        <w:ind w:firstLineChars="200" w:firstLine="560"/>
        <w:jc w:val="left"/>
        <w:rPr>
          <w:rFonts w:ascii="仿宋" w:eastAsia="仿宋" w:hAnsi="仿宋"/>
          <w:sz w:val="28"/>
          <w:szCs w:val="28"/>
        </w:rPr>
      </w:pPr>
      <w:r>
        <w:rPr>
          <w:rFonts w:ascii="仿宋" w:eastAsia="仿宋" w:hAnsi="仿宋" w:hint="eastAsia"/>
          <w:sz w:val="28"/>
          <w:szCs w:val="28"/>
        </w:rPr>
        <w:t>应包含建筑幕墙基本概况表（附表）、建筑幕墙日常安全检查及维修记录、建筑幕墙日常报修及处理记录、建筑幕墙局部改造资料等文件。</w:t>
      </w:r>
    </w:p>
    <w:p>
      <w:pPr>
        <w:pStyle w:val="55"/>
        <w:widowControl/>
        <w:tabs>
          <w:tab w:val="left" w:pos="567"/>
        </w:tabs>
        <w:spacing w:line="360" w:lineRule="auto"/>
        <w:ind w:firstLineChars="0" w:firstLine="0"/>
        <w:jc w:val="left"/>
        <w:rPr>
          <w:rFonts w:ascii="仿宋" w:eastAsia="仿宋" w:hAnsi="仿宋"/>
          <w:sz w:val="28"/>
          <w:szCs w:val="28"/>
        </w:rPr>
      </w:pPr>
    </w:p>
    <w:p>
      <w:pPr>
        <w:adjustRightInd w:val="0"/>
        <w:snapToGrid w:val="0"/>
        <w:spacing w:line="360" w:lineRule="auto"/>
        <w:rPr>
          <w:szCs w:val="21"/>
        </w:rPr>
      </w:pPr>
      <w:bookmarkStart w:id="5" w:name="_Toc294084926"/>
    </w:p>
    <w:p>
      <w:pPr>
        <w:adjustRightInd w:val="0"/>
        <w:snapToGrid w:val="0"/>
        <w:spacing w:line="360" w:lineRule="auto"/>
        <w:rPr>
          <w:szCs w:val="21"/>
        </w:rPr>
      </w:pPr>
    </w:p>
    <w:p>
      <w:pPr>
        <w:adjustRightInd w:val="0"/>
        <w:snapToGrid w:val="0"/>
        <w:spacing w:line="360" w:lineRule="auto"/>
        <w:rPr>
          <w:szCs w:val="21"/>
        </w:rPr>
      </w:pPr>
    </w:p>
    <w:p>
      <w:pPr>
        <w:adjustRightInd w:val="0"/>
        <w:snapToGrid w:val="0"/>
        <w:spacing w:line="360" w:lineRule="auto"/>
        <w:rPr>
          <w:szCs w:val="21"/>
        </w:rPr>
      </w:pPr>
    </w:p>
    <w:p>
      <w:pPr>
        <w:adjustRightInd w:val="0"/>
        <w:snapToGrid w:val="0"/>
        <w:spacing w:line="360" w:lineRule="auto"/>
        <w:rPr>
          <w:szCs w:val="21"/>
        </w:rPr>
      </w:pPr>
    </w:p>
    <w:p>
      <w:pPr>
        <w:adjustRightInd w:val="0"/>
        <w:snapToGrid w:val="0"/>
        <w:spacing w:line="360" w:lineRule="auto"/>
        <w:rPr>
          <w:szCs w:val="21"/>
        </w:rPr>
      </w:pPr>
    </w:p>
    <w:p>
      <w:pPr>
        <w:adjustRightInd w:val="0"/>
        <w:snapToGrid w:val="0"/>
        <w:spacing w:line="360" w:lineRule="auto"/>
        <w:rPr>
          <w:szCs w:val="21"/>
        </w:rPr>
      </w:pPr>
    </w:p>
    <w:p>
      <w:pPr>
        <w:adjustRightInd w:val="0"/>
        <w:snapToGrid w:val="0"/>
        <w:spacing w:line="360" w:lineRule="auto"/>
        <w:rPr>
          <w:szCs w:val="21"/>
        </w:rPr>
      </w:pPr>
    </w:p>
    <w:p>
      <w:pPr>
        <w:adjustRightInd w:val="0"/>
        <w:snapToGrid w:val="0"/>
        <w:spacing w:line="360" w:lineRule="auto"/>
        <w:rPr>
          <w:szCs w:val="21"/>
        </w:rPr>
      </w:pPr>
    </w:p>
    <w:p>
      <w:pPr>
        <w:pStyle w:val="55"/>
        <w:widowControl/>
        <w:numPr>
          <w:ilvl w:val="0"/>
          <w:numId w:val="4"/>
        </w:numPr>
        <w:spacing w:line="360" w:lineRule="auto"/>
        <w:ind w:left="544" w:hangingChars="170" w:hanging="544"/>
        <w:jc w:val="center"/>
        <w:outlineLvl w:val="0"/>
        <w:rPr>
          <w:rFonts w:ascii="仿宋_GB2312" w:eastAsia="仿宋_GB2312" w:hAnsi="Times New Roman"/>
          <w:bCs/>
          <w:kern w:val="0"/>
          <w:sz w:val="32"/>
          <w:szCs w:val="32"/>
        </w:rPr>
        <w:sectPr>
          <w:type w:val="continuous"/>
          <w:pgSz w:w="11907" w:h="16839"/>
          <w:pgMar w:top="1418" w:right="1440" w:bottom="1418" w:left="1440" w:header="720" w:footer="720" w:gutter="0"/>
          <w:pgNumType/>
          <w:cols w:num="1" w:space="720"/>
          <w:docGrid w:linePitch="312" w:charSpace="0"/>
        </w:sectPr>
      </w:pPr>
      <w:bookmarkStart w:id="6" w:name="_Toc294084929"/>
    </w:p>
    <w:p>
      <w:pPr>
        <w:pStyle w:val="55"/>
        <w:widowControl/>
        <w:spacing w:line="360" w:lineRule="auto"/>
        <w:ind w:left="544" w:firstLineChars="0" w:firstLine="0"/>
        <w:jc w:val="center"/>
        <w:outlineLvl w:val="0"/>
        <w:rPr>
          <w:rFonts w:ascii="Times New Roman" w:eastAsia="黑体" w:hAnsi="Times New Roman"/>
          <w:b/>
          <w:sz w:val="28"/>
          <w:szCs w:val="28"/>
        </w:rPr>
      </w:pPr>
      <w:bookmarkStart w:id="7" w:name="_Toc294084930"/>
      <w:bookmarkEnd w:id="6"/>
      <w:r>
        <w:rPr>
          <w:rFonts w:ascii="Times New Roman" w:eastAsia="黑体" w:hAnsi="Times New Roman"/>
          <w:b/>
          <w:sz w:val="28"/>
          <w:szCs w:val="28"/>
        </w:rPr>
        <w:t>4</w:t>
      </w:r>
      <w:r>
        <w:rPr>
          <w:rFonts w:ascii="Times New Roman" w:eastAsia="黑体" w:hAnsi="Times New Roman" w:hint="eastAsia"/>
          <w:b/>
          <w:sz w:val="28"/>
          <w:szCs w:val="28"/>
        </w:rPr>
        <w:t>检查工作</w:t>
      </w:r>
    </w:p>
    <w:p>
      <w:pPr>
        <w:spacing w:line="360" w:lineRule="auto"/>
        <w:rPr>
          <w:rFonts w:ascii="仿宋" w:eastAsia="仿宋" w:hAnsi="仿宋"/>
          <w:sz w:val="28"/>
          <w:szCs w:val="28"/>
        </w:rPr>
      </w:pPr>
      <w:r>
        <w:rPr>
          <w:rFonts w:ascii="仿宋" w:eastAsia="仿宋" w:hAnsi="仿宋"/>
          <w:sz w:val="28"/>
          <w:szCs w:val="28"/>
        </w:rPr>
        <w:t>4.1</w:t>
      </w:r>
      <w:r>
        <w:rPr>
          <w:rFonts w:ascii="仿宋" w:eastAsia="仿宋" w:hAnsi="仿宋" w:hint="eastAsia"/>
          <w:sz w:val="28"/>
          <w:szCs w:val="28"/>
        </w:rPr>
        <w:t>建筑幕墙检查工作包括查阅工程技术资料、安全维护管理资料，以及现场检查、检测。</w:t>
      </w:r>
    </w:p>
    <w:p>
      <w:pPr>
        <w:spacing w:line="360" w:lineRule="auto"/>
        <w:rPr>
          <w:rFonts w:ascii="仿宋" w:eastAsia="仿宋" w:hAnsi="仿宋"/>
          <w:sz w:val="28"/>
          <w:szCs w:val="28"/>
        </w:rPr>
      </w:pPr>
      <w:r>
        <w:rPr>
          <w:rFonts w:ascii="仿宋" w:eastAsia="仿宋" w:hAnsi="仿宋"/>
          <w:sz w:val="28"/>
          <w:szCs w:val="28"/>
        </w:rPr>
        <w:t>4.2</w:t>
      </w:r>
      <w:r>
        <w:rPr>
          <w:rFonts w:ascii="仿宋" w:eastAsia="仿宋" w:hAnsi="仿宋" w:hint="eastAsia"/>
          <w:sz w:val="28"/>
          <w:szCs w:val="28"/>
        </w:rPr>
        <w:t>检查、检测宜优先选用对建筑物主体结构、幕墙结构无损伤的检测方法。</w:t>
      </w:r>
      <w:bookmarkStart w:id="8" w:name="_Toc325446112"/>
    </w:p>
    <w:p>
      <w:pPr>
        <w:spacing w:line="360" w:lineRule="auto"/>
        <w:rPr>
          <w:rFonts w:ascii="仿宋" w:eastAsia="仿宋" w:hAnsi="仿宋"/>
          <w:sz w:val="28"/>
          <w:szCs w:val="28"/>
        </w:rPr>
      </w:pPr>
      <w:r>
        <w:rPr>
          <w:rFonts w:ascii="仿宋" w:eastAsia="仿宋" w:hAnsi="仿宋"/>
          <w:sz w:val="28"/>
          <w:szCs w:val="28"/>
        </w:rPr>
        <w:t>4.3</w:t>
      </w:r>
      <w:r>
        <w:rPr>
          <w:rFonts w:ascii="仿宋" w:eastAsia="仿宋" w:hAnsi="仿宋" w:hint="eastAsia"/>
          <w:sz w:val="28"/>
          <w:szCs w:val="28"/>
        </w:rPr>
        <w:t>工程技术资料</w:t>
      </w:r>
      <w:bookmarkEnd w:id="8"/>
      <w:r>
        <w:rPr>
          <w:rFonts w:ascii="仿宋" w:eastAsia="仿宋" w:hAnsi="仿宋" w:hint="eastAsia"/>
          <w:sz w:val="28"/>
          <w:szCs w:val="28"/>
        </w:rPr>
        <w:t>应包括设计、施工、验收等资料。</w:t>
      </w:r>
    </w:p>
    <w:p>
      <w:pPr>
        <w:spacing w:line="360" w:lineRule="auto"/>
        <w:rPr>
          <w:rFonts w:ascii="仿宋" w:eastAsia="仿宋" w:hAnsi="仿宋"/>
          <w:sz w:val="28"/>
          <w:szCs w:val="28"/>
        </w:rPr>
      </w:pPr>
      <w:r>
        <w:rPr>
          <w:rFonts w:ascii="仿宋" w:eastAsia="仿宋" w:hAnsi="仿宋"/>
          <w:sz w:val="28"/>
          <w:szCs w:val="28"/>
        </w:rPr>
        <w:t>4.3.1</w:t>
      </w:r>
      <w:r>
        <w:rPr>
          <w:rFonts w:ascii="仿宋" w:eastAsia="仿宋" w:hAnsi="仿宋" w:hint="eastAsia"/>
          <w:sz w:val="28"/>
          <w:szCs w:val="28"/>
        </w:rPr>
        <w:t>设计资料应包括以下内容：</w:t>
      </w:r>
    </w:p>
    <w:p>
      <w:pPr>
        <w:spacing w:line="360" w:lineRule="auto"/>
        <w:rPr>
          <w:rFonts w:ascii="仿宋" w:eastAsia="仿宋" w:hAnsi="仿宋"/>
          <w:sz w:val="28"/>
          <w:szCs w:val="28"/>
        </w:rPr>
      </w:pPr>
      <w:r>
        <w:rPr>
          <w:rFonts w:ascii="仿宋" w:eastAsia="仿宋" w:hAnsi="仿宋"/>
          <w:sz w:val="28"/>
          <w:szCs w:val="28"/>
        </w:rPr>
        <w:t xml:space="preserve">    1</w:t>
      </w:r>
      <w:r>
        <w:rPr>
          <w:rFonts w:ascii="仿宋" w:eastAsia="仿宋" w:hAnsi="仿宋" w:hint="eastAsia"/>
          <w:sz w:val="28"/>
          <w:szCs w:val="28"/>
        </w:rPr>
        <w:t>竣工图（或施工图）及设计变更文件；</w:t>
      </w:r>
    </w:p>
    <w:p>
      <w:pPr>
        <w:spacing w:line="360" w:lineRule="auto"/>
        <w:rPr>
          <w:rFonts w:ascii="仿宋" w:eastAsia="仿宋" w:hAnsi="仿宋"/>
          <w:sz w:val="28"/>
          <w:szCs w:val="28"/>
        </w:rPr>
      </w:pPr>
      <w:r>
        <w:rPr>
          <w:rFonts w:ascii="仿宋" w:eastAsia="仿宋" w:hAnsi="仿宋"/>
          <w:sz w:val="28"/>
          <w:szCs w:val="28"/>
        </w:rPr>
        <w:t xml:space="preserve">    2</w:t>
      </w:r>
      <w:r>
        <w:rPr>
          <w:rFonts w:ascii="仿宋" w:eastAsia="仿宋" w:hAnsi="仿宋" w:hint="eastAsia"/>
          <w:sz w:val="28"/>
          <w:szCs w:val="28"/>
        </w:rPr>
        <w:t>幕墙工程计算书；</w:t>
      </w:r>
    </w:p>
    <w:p>
      <w:pPr>
        <w:spacing w:line="360" w:lineRule="auto"/>
        <w:rPr>
          <w:rFonts w:ascii="仿宋" w:eastAsia="仿宋" w:hAnsi="仿宋"/>
          <w:sz w:val="28"/>
          <w:szCs w:val="28"/>
        </w:rPr>
      </w:pPr>
      <w:r>
        <w:rPr>
          <w:rFonts w:ascii="仿宋" w:eastAsia="仿宋" w:hAnsi="仿宋"/>
          <w:sz w:val="28"/>
          <w:szCs w:val="28"/>
        </w:rPr>
        <w:t xml:space="preserve">    3</w:t>
      </w:r>
      <w:r>
        <w:rPr>
          <w:rFonts w:ascii="仿宋" w:eastAsia="仿宋" w:hAnsi="仿宋" w:hint="eastAsia"/>
          <w:sz w:val="28"/>
          <w:szCs w:val="28"/>
        </w:rPr>
        <w:t>其他设计文件。</w:t>
      </w:r>
    </w:p>
    <w:p>
      <w:pPr>
        <w:spacing w:line="360" w:lineRule="auto"/>
        <w:rPr>
          <w:rFonts w:ascii="仿宋" w:eastAsia="仿宋" w:hAnsi="仿宋"/>
          <w:sz w:val="28"/>
          <w:szCs w:val="28"/>
        </w:rPr>
      </w:pPr>
      <w:r>
        <w:rPr>
          <w:rFonts w:ascii="仿宋" w:eastAsia="仿宋" w:hAnsi="仿宋"/>
          <w:sz w:val="28"/>
          <w:szCs w:val="28"/>
        </w:rPr>
        <w:t>4.3.2</w:t>
      </w:r>
      <w:r>
        <w:rPr>
          <w:rFonts w:ascii="仿宋" w:eastAsia="仿宋" w:hAnsi="仿宋" w:hint="eastAsia"/>
          <w:sz w:val="28"/>
          <w:szCs w:val="28"/>
        </w:rPr>
        <w:t>施工资料应包括以下内容：</w:t>
      </w:r>
    </w:p>
    <w:p>
      <w:pPr>
        <w:spacing w:line="360" w:lineRule="auto"/>
        <w:rPr>
          <w:rFonts w:ascii="仿宋" w:eastAsia="仿宋" w:hAnsi="仿宋"/>
          <w:sz w:val="28"/>
          <w:szCs w:val="28"/>
        </w:rPr>
      </w:pPr>
      <w:r>
        <w:rPr>
          <w:rFonts w:ascii="仿宋" w:eastAsia="仿宋" w:hAnsi="仿宋"/>
          <w:sz w:val="28"/>
          <w:szCs w:val="28"/>
        </w:rPr>
        <w:t xml:space="preserve">    1</w:t>
      </w:r>
      <w:r>
        <w:rPr>
          <w:rFonts w:ascii="仿宋" w:eastAsia="仿宋" w:hAnsi="仿宋" w:hint="eastAsia"/>
          <w:sz w:val="28"/>
          <w:szCs w:val="28"/>
        </w:rPr>
        <w:t>安装施工、验收记录；</w:t>
      </w:r>
    </w:p>
    <w:p>
      <w:pPr>
        <w:spacing w:line="360" w:lineRule="auto"/>
        <w:rPr>
          <w:rFonts w:ascii="仿宋" w:eastAsia="仿宋" w:hAnsi="仿宋"/>
          <w:sz w:val="28"/>
          <w:szCs w:val="28"/>
        </w:rPr>
      </w:pPr>
      <w:r>
        <w:rPr>
          <w:rFonts w:ascii="仿宋" w:eastAsia="仿宋" w:hAnsi="仿宋"/>
          <w:sz w:val="28"/>
          <w:szCs w:val="28"/>
        </w:rPr>
        <w:t xml:space="preserve">    2</w:t>
      </w:r>
      <w:r>
        <w:rPr>
          <w:rFonts w:ascii="仿宋" w:eastAsia="仿宋" w:hAnsi="仿宋" w:hint="eastAsia"/>
          <w:sz w:val="28"/>
          <w:szCs w:val="28"/>
        </w:rPr>
        <w:t>隐蔽工程验收记录；</w:t>
      </w:r>
    </w:p>
    <w:p>
      <w:pPr>
        <w:spacing w:line="360" w:lineRule="auto"/>
        <w:rPr>
          <w:rFonts w:ascii="仿宋" w:eastAsia="仿宋" w:hAnsi="仿宋"/>
          <w:sz w:val="28"/>
          <w:szCs w:val="28"/>
        </w:rPr>
      </w:pPr>
      <w:r>
        <w:rPr>
          <w:rFonts w:ascii="仿宋" w:eastAsia="仿宋" w:hAnsi="仿宋"/>
          <w:sz w:val="28"/>
          <w:szCs w:val="28"/>
        </w:rPr>
        <w:t xml:space="preserve">    3</w:t>
      </w:r>
      <w:r>
        <w:rPr>
          <w:rFonts w:ascii="仿宋" w:eastAsia="仿宋" w:hAnsi="仿宋" w:hint="eastAsia"/>
          <w:sz w:val="28"/>
          <w:szCs w:val="28"/>
        </w:rPr>
        <w:t>分项工程竣工验收记录。</w:t>
      </w:r>
    </w:p>
    <w:p>
      <w:pPr>
        <w:spacing w:line="360" w:lineRule="auto"/>
        <w:rPr>
          <w:rFonts w:ascii="仿宋" w:eastAsia="仿宋" w:hAnsi="仿宋"/>
          <w:sz w:val="28"/>
          <w:szCs w:val="28"/>
        </w:rPr>
      </w:pPr>
      <w:r>
        <w:rPr>
          <w:rFonts w:ascii="仿宋" w:eastAsia="仿宋" w:hAnsi="仿宋"/>
          <w:sz w:val="28"/>
          <w:szCs w:val="28"/>
        </w:rPr>
        <w:t xml:space="preserve">    4 </w:t>
      </w:r>
      <w:r>
        <w:rPr>
          <w:rFonts w:ascii="仿宋" w:eastAsia="仿宋" w:hAnsi="仿宋" w:hint="eastAsia"/>
          <w:sz w:val="28"/>
          <w:szCs w:val="28"/>
        </w:rPr>
        <w:t>主要材料如面板、金属构件、密封材料、五金件及附件等的材质、型号、种类、生产厂家、产品合格证书、型式试验报告、进场验收记录等；</w:t>
      </w:r>
    </w:p>
    <w:p>
      <w:pPr>
        <w:spacing w:line="360" w:lineRule="auto"/>
        <w:rPr>
          <w:rFonts w:ascii="仿宋" w:eastAsia="仿宋" w:hAnsi="仿宋"/>
          <w:sz w:val="28"/>
          <w:szCs w:val="28"/>
        </w:rPr>
      </w:pPr>
      <w:r>
        <w:rPr>
          <w:rFonts w:ascii="仿宋" w:eastAsia="仿宋" w:hAnsi="仿宋"/>
          <w:sz w:val="28"/>
          <w:szCs w:val="28"/>
        </w:rPr>
        <w:t>4.3.3</w:t>
      </w:r>
      <w:r>
        <w:rPr>
          <w:rFonts w:ascii="仿宋" w:eastAsia="仿宋" w:hAnsi="仿宋" w:hint="eastAsia"/>
          <w:sz w:val="28"/>
          <w:szCs w:val="28"/>
        </w:rPr>
        <w:t>验收资料应包括以下内容：</w:t>
      </w:r>
    </w:p>
    <w:p>
      <w:pPr>
        <w:pStyle w:val="55"/>
        <w:widowControl/>
        <w:tabs>
          <w:tab w:val="left" w:pos="709"/>
        </w:tabs>
        <w:spacing w:line="360" w:lineRule="auto"/>
        <w:ind w:left="709" w:firstLineChars="0" w:firstLine="0"/>
        <w:jc w:val="left"/>
        <w:rPr>
          <w:rFonts w:ascii="仿宋" w:eastAsia="仿宋" w:hAnsi="仿宋"/>
          <w:sz w:val="28"/>
          <w:szCs w:val="28"/>
        </w:rPr>
      </w:pPr>
      <w:r>
        <w:rPr>
          <w:rFonts w:ascii="仿宋" w:eastAsia="仿宋" w:hAnsi="仿宋"/>
          <w:sz w:val="28"/>
          <w:szCs w:val="28"/>
        </w:rPr>
        <w:t>1</w:t>
      </w:r>
      <w:r>
        <w:rPr>
          <w:rFonts w:ascii="仿宋" w:eastAsia="仿宋" w:hAnsi="仿宋" w:hint="eastAsia"/>
          <w:sz w:val="28"/>
          <w:szCs w:val="28"/>
        </w:rPr>
        <w:t>施工验收记录</w:t>
      </w:r>
    </w:p>
    <w:p>
      <w:pPr>
        <w:pStyle w:val="55"/>
        <w:widowControl/>
        <w:tabs>
          <w:tab w:val="left" w:pos="709"/>
        </w:tabs>
        <w:spacing w:line="360" w:lineRule="auto"/>
        <w:ind w:left="709" w:firstLineChars="0" w:firstLine="0"/>
        <w:jc w:val="left"/>
        <w:rPr>
          <w:rFonts w:ascii="仿宋" w:eastAsia="仿宋" w:hAnsi="仿宋"/>
          <w:sz w:val="28"/>
          <w:szCs w:val="28"/>
        </w:rPr>
      </w:pPr>
      <w:r>
        <w:rPr>
          <w:rFonts w:ascii="仿宋" w:eastAsia="仿宋" w:hAnsi="仿宋"/>
          <w:sz w:val="28"/>
          <w:szCs w:val="28"/>
        </w:rPr>
        <w:t>2</w:t>
      </w:r>
      <w:r>
        <w:rPr>
          <w:rFonts w:ascii="仿宋" w:eastAsia="仿宋" w:hAnsi="仿宋" w:hint="eastAsia"/>
          <w:sz w:val="28"/>
          <w:szCs w:val="28"/>
        </w:rPr>
        <w:t>各种相关材料的复验报告</w:t>
      </w:r>
    </w:p>
    <w:p>
      <w:pPr>
        <w:pStyle w:val="55"/>
        <w:widowControl/>
        <w:tabs>
          <w:tab w:val="left" w:pos="709"/>
        </w:tabs>
        <w:spacing w:line="360" w:lineRule="auto"/>
        <w:ind w:left="709" w:firstLineChars="0" w:firstLine="0"/>
        <w:jc w:val="left"/>
        <w:rPr>
          <w:rFonts w:ascii="仿宋" w:eastAsia="仿宋" w:hAnsi="仿宋"/>
          <w:sz w:val="28"/>
          <w:szCs w:val="28"/>
        </w:rPr>
      </w:pPr>
      <w:r>
        <w:rPr>
          <w:rFonts w:ascii="仿宋" w:eastAsia="仿宋" w:hAnsi="仿宋"/>
          <w:sz w:val="28"/>
          <w:szCs w:val="28"/>
        </w:rPr>
        <w:t>3</w:t>
      </w:r>
      <w:r>
        <w:rPr>
          <w:rFonts w:ascii="仿宋" w:eastAsia="仿宋" w:hAnsi="仿宋" w:hint="eastAsia"/>
          <w:sz w:val="28"/>
          <w:szCs w:val="28"/>
        </w:rPr>
        <w:t>建筑幕墙性能检验报告；</w:t>
      </w:r>
    </w:p>
    <w:p>
      <w:pPr>
        <w:pStyle w:val="55"/>
        <w:widowControl/>
        <w:tabs>
          <w:tab w:val="left" w:pos="567"/>
        </w:tabs>
        <w:spacing w:line="360" w:lineRule="auto"/>
        <w:ind w:left="709" w:firstLineChars="0" w:firstLine="0"/>
        <w:jc w:val="left"/>
        <w:rPr>
          <w:rFonts w:ascii="仿宋" w:eastAsia="仿宋" w:hAnsi="仿宋"/>
          <w:sz w:val="28"/>
          <w:szCs w:val="28"/>
        </w:rPr>
      </w:pPr>
      <w:r>
        <w:rPr>
          <w:rFonts w:ascii="仿宋" w:eastAsia="仿宋" w:hAnsi="仿宋"/>
          <w:sz w:val="28"/>
          <w:szCs w:val="28"/>
        </w:rPr>
        <w:t>4</w:t>
      </w:r>
      <w:r>
        <w:rPr>
          <w:rFonts w:ascii="仿宋" w:eastAsia="仿宋" w:hAnsi="仿宋" w:hint="eastAsia"/>
          <w:sz w:val="28"/>
          <w:szCs w:val="28"/>
        </w:rPr>
        <w:t>其它功能性构造的性能检验报告。</w:t>
      </w:r>
    </w:p>
    <w:p>
      <w:pPr>
        <w:pStyle w:val="55"/>
        <w:widowControl/>
        <w:tabs>
          <w:tab w:val="left" w:pos="-142"/>
        </w:tabs>
        <w:spacing w:line="360" w:lineRule="auto"/>
        <w:ind w:firstLineChars="0" w:firstLine="0"/>
        <w:jc w:val="left"/>
        <w:rPr>
          <w:rFonts w:ascii="仿宋" w:eastAsia="仿宋" w:hAnsi="仿宋"/>
          <w:sz w:val="28"/>
          <w:szCs w:val="28"/>
        </w:rPr>
      </w:pPr>
      <w:r>
        <w:rPr>
          <w:rFonts w:ascii="仿宋" w:eastAsia="仿宋" w:hAnsi="仿宋"/>
          <w:sz w:val="28"/>
          <w:szCs w:val="28"/>
        </w:rPr>
        <w:t xml:space="preserve">4.4 </w:t>
      </w:r>
      <w:r>
        <w:rPr>
          <w:rFonts w:ascii="仿宋" w:eastAsia="仿宋" w:hAnsi="仿宋" w:hint="eastAsia"/>
          <w:sz w:val="28"/>
          <w:szCs w:val="28"/>
        </w:rPr>
        <w:t>安全维护管理资料应包括以下内容：</w:t>
      </w:r>
    </w:p>
    <w:p>
      <w:pPr>
        <w:pStyle w:val="55"/>
        <w:widowControl/>
        <w:tabs>
          <w:tab w:val="left" w:pos="709"/>
        </w:tabs>
        <w:spacing w:line="360" w:lineRule="auto"/>
        <w:ind w:left="702" w:firstLineChars="0" w:firstLine="0"/>
        <w:jc w:val="left"/>
        <w:rPr>
          <w:rFonts w:ascii="仿宋" w:eastAsia="仿宋" w:hAnsi="仿宋"/>
          <w:sz w:val="28"/>
          <w:szCs w:val="28"/>
        </w:rPr>
      </w:pPr>
      <w:r>
        <w:rPr>
          <w:rFonts w:ascii="仿宋" w:eastAsia="仿宋" w:hAnsi="仿宋"/>
          <w:sz w:val="28"/>
          <w:szCs w:val="28"/>
        </w:rPr>
        <w:t>1</w:t>
      </w:r>
      <w:r>
        <w:rPr>
          <w:rFonts w:ascii="仿宋" w:eastAsia="仿宋" w:hAnsi="仿宋" w:hint="eastAsia"/>
          <w:sz w:val="28"/>
          <w:szCs w:val="28"/>
        </w:rPr>
        <w:t>安全维护计划；</w:t>
      </w:r>
    </w:p>
    <w:p>
      <w:pPr>
        <w:pStyle w:val="55"/>
        <w:widowControl/>
        <w:tabs>
          <w:tab w:val="left" w:pos="709"/>
        </w:tabs>
        <w:spacing w:line="360" w:lineRule="auto"/>
        <w:ind w:left="702" w:firstLineChars="0" w:firstLine="0"/>
        <w:jc w:val="left"/>
        <w:rPr>
          <w:rFonts w:ascii="仿宋" w:eastAsia="仿宋" w:hAnsi="仿宋"/>
          <w:sz w:val="28"/>
          <w:szCs w:val="28"/>
        </w:rPr>
      </w:pPr>
      <w:r>
        <w:rPr>
          <w:rFonts w:ascii="仿宋" w:eastAsia="仿宋" w:hAnsi="仿宋"/>
          <w:sz w:val="28"/>
          <w:szCs w:val="28"/>
        </w:rPr>
        <w:t>2</w:t>
      </w:r>
      <w:r>
        <w:rPr>
          <w:rFonts w:ascii="仿宋" w:eastAsia="仿宋" w:hAnsi="仿宋" w:hint="eastAsia"/>
          <w:sz w:val="28"/>
          <w:szCs w:val="28"/>
        </w:rPr>
        <w:t>安全维护档案；</w:t>
      </w:r>
    </w:p>
    <w:p>
      <w:pPr>
        <w:pStyle w:val="55"/>
        <w:widowControl/>
        <w:tabs>
          <w:tab w:val="left" w:pos="709"/>
        </w:tabs>
        <w:spacing w:line="360" w:lineRule="auto"/>
        <w:ind w:left="709" w:firstLineChars="0" w:firstLine="0"/>
        <w:jc w:val="left"/>
        <w:rPr>
          <w:rFonts w:ascii="仿宋" w:eastAsia="仿宋" w:hAnsi="仿宋"/>
          <w:sz w:val="28"/>
          <w:szCs w:val="28"/>
        </w:rPr>
      </w:pPr>
      <w:r>
        <w:rPr>
          <w:rFonts w:ascii="仿宋" w:eastAsia="仿宋" w:hAnsi="仿宋"/>
          <w:sz w:val="28"/>
          <w:szCs w:val="28"/>
        </w:rPr>
        <w:t>3</w:t>
      </w:r>
      <w:r>
        <w:rPr>
          <w:rFonts w:ascii="仿宋" w:eastAsia="仿宋" w:hAnsi="仿宋" w:hint="eastAsia"/>
          <w:sz w:val="28"/>
          <w:szCs w:val="28"/>
        </w:rPr>
        <w:t>日常维护、检修记录；</w:t>
      </w:r>
    </w:p>
    <w:p>
      <w:pPr>
        <w:pStyle w:val="55"/>
        <w:widowControl/>
        <w:tabs>
          <w:tab w:val="left" w:pos="709"/>
        </w:tabs>
        <w:spacing w:line="360" w:lineRule="auto"/>
        <w:ind w:left="709" w:firstLineChars="0" w:firstLine="0"/>
        <w:jc w:val="left"/>
        <w:rPr>
          <w:rFonts w:ascii="仿宋" w:eastAsia="仿宋" w:hAnsi="仿宋"/>
          <w:sz w:val="28"/>
          <w:szCs w:val="28"/>
        </w:rPr>
      </w:pPr>
      <w:r>
        <w:rPr>
          <w:rFonts w:ascii="仿宋" w:eastAsia="仿宋" w:hAnsi="仿宋"/>
          <w:sz w:val="28"/>
          <w:szCs w:val="28"/>
        </w:rPr>
        <w:t>4</w:t>
      </w:r>
      <w:r>
        <w:rPr>
          <w:rFonts w:ascii="仿宋" w:eastAsia="仿宋" w:hAnsi="仿宋" w:hint="eastAsia"/>
          <w:sz w:val="28"/>
          <w:szCs w:val="28"/>
        </w:rPr>
        <w:t>改建、局部改造记录；</w:t>
      </w:r>
    </w:p>
    <w:p>
      <w:pPr>
        <w:pStyle w:val="55"/>
        <w:widowControl/>
        <w:tabs>
          <w:tab w:val="left" w:pos="709"/>
        </w:tabs>
        <w:spacing w:line="360" w:lineRule="auto"/>
        <w:ind w:left="709" w:firstLineChars="0" w:firstLine="0"/>
        <w:jc w:val="left"/>
        <w:rPr>
          <w:rFonts w:ascii="仿宋" w:eastAsia="仿宋" w:hAnsi="仿宋"/>
          <w:sz w:val="28"/>
          <w:szCs w:val="28"/>
        </w:rPr>
      </w:pPr>
      <w:r>
        <w:rPr>
          <w:rFonts w:ascii="仿宋" w:eastAsia="仿宋" w:hAnsi="仿宋"/>
          <w:sz w:val="28"/>
          <w:szCs w:val="28"/>
        </w:rPr>
        <w:t>5</w:t>
      </w:r>
      <w:r>
        <w:rPr>
          <w:rFonts w:ascii="仿宋" w:eastAsia="仿宋" w:hAnsi="仿宋" w:hint="eastAsia"/>
          <w:sz w:val="28"/>
          <w:szCs w:val="28"/>
        </w:rPr>
        <w:t>质量问题或事故及处理记录。</w:t>
      </w:r>
    </w:p>
    <w:p>
      <w:pPr>
        <w:pStyle w:val="55"/>
        <w:widowControl/>
        <w:tabs>
          <w:tab w:val="left" w:pos="567"/>
        </w:tabs>
        <w:spacing w:line="360" w:lineRule="auto"/>
        <w:ind w:firstLineChars="0" w:firstLine="0"/>
        <w:jc w:val="left"/>
        <w:rPr>
          <w:rFonts w:ascii="仿宋_GB2312" w:eastAsia="仿宋_GB2312" w:hAnsi="Times New Roman"/>
          <w:sz w:val="28"/>
          <w:szCs w:val="28"/>
        </w:rPr>
      </w:pPr>
      <w:r>
        <w:rPr>
          <w:rFonts w:ascii="仿宋_GB2312" w:eastAsia="仿宋_GB2312" w:hAnsi="Times New Roman"/>
          <w:sz w:val="28"/>
          <w:szCs w:val="28"/>
        </w:rPr>
        <w:t xml:space="preserve">4.5  </w:t>
      </w:r>
      <w:r>
        <w:rPr>
          <w:rFonts w:ascii="仿宋_GB2312" w:eastAsia="仿宋_GB2312" w:hAnsi="Times New Roman" w:hint="eastAsia"/>
          <w:sz w:val="28"/>
          <w:szCs w:val="28"/>
        </w:rPr>
        <w:t>建筑幕墙现场检查、检测应包括幕墙面板、室外装饰构件、开启窗、受力构件、雨水渗漏和拆改部位检查等内容。</w:t>
      </w:r>
    </w:p>
    <w:p>
      <w:pPr>
        <w:pStyle w:val="55"/>
        <w:widowControl/>
        <w:tabs>
          <w:tab w:val="left" w:pos="567"/>
        </w:tabs>
        <w:spacing w:line="360" w:lineRule="auto"/>
        <w:ind w:firstLineChars="0" w:firstLine="0"/>
        <w:jc w:val="left"/>
        <w:rPr>
          <w:rFonts w:ascii="仿宋" w:eastAsia="仿宋" w:hAnsi="仿宋"/>
          <w:sz w:val="28"/>
          <w:szCs w:val="28"/>
        </w:rPr>
      </w:pPr>
      <w:r>
        <w:rPr>
          <w:rFonts w:ascii="仿宋" w:eastAsia="仿宋" w:hAnsi="仿宋"/>
          <w:sz w:val="28"/>
          <w:szCs w:val="28"/>
        </w:rPr>
        <w:t>4.5.1</w:t>
      </w:r>
      <w:r>
        <w:rPr>
          <w:rFonts w:ascii="仿宋" w:eastAsia="仿宋" w:hAnsi="仿宋" w:hint="eastAsia"/>
          <w:sz w:val="28"/>
          <w:szCs w:val="28"/>
        </w:rPr>
        <w:t>幕墙面板检查包括以下内容：</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1</w:t>
      </w:r>
      <w:r>
        <w:rPr>
          <w:rFonts w:ascii="仿宋" w:eastAsia="仿宋" w:hAnsi="仿宋" w:hint="eastAsia"/>
          <w:sz w:val="28"/>
          <w:szCs w:val="28"/>
        </w:rPr>
        <w:t>玻璃面板是否为安全玻璃；</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2</w:t>
      </w:r>
      <w:r>
        <w:rPr>
          <w:rFonts w:ascii="仿宋" w:eastAsia="仿宋" w:hAnsi="仿宋" w:hint="eastAsia"/>
          <w:sz w:val="28"/>
          <w:szCs w:val="28"/>
        </w:rPr>
        <w:t>夹层玻璃有无分层、起泡、脱胶；</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3</w:t>
      </w:r>
      <w:r>
        <w:rPr>
          <w:rFonts w:ascii="仿宋" w:eastAsia="仿宋" w:hAnsi="仿宋" w:hint="eastAsia"/>
          <w:sz w:val="28"/>
          <w:szCs w:val="28"/>
        </w:rPr>
        <w:t>中空玻璃有无起雾、结露、霉变、丁基胶流油现象；</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4</w:t>
      </w:r>
      <w:r>
        <w:rPr>
          <w:rFonts w:ascii="仿宋" w:eastAsia="仿宋" w:hAnsi="仿宋" w:hint="eastAsia"/>
          <w:sz w:val="28"/>
          <w:szCs w:val="28"/>
        </w:rPr>
        <w:t>金属面板有无划痕、起鼓、变形；</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5</w:t>
      </w:r>
      <w:r>
        <w:rPr>
          <w:rFonts w:ascii="仿宋" w:eastAsia="仿宋" w:hAnsi="仿宋" w:hint="eastAsia"/>
          <w:sz w:val="28"/>
          <w:szCs w:val="28"/>
        </w:rPr>
        <w:t>面板有无破碎、破裂、缺损、坠落现象</w:t>
      </w:r>
      <w:r>
        <w:rPr>
          <w:rFonts w:ascii="仿宋" w:eastAsia="仿宋" w:hAnsi="仿宋"/>
          <w:sz w:val="28"/>
          <w:szCs w:val="28"/>
        </w:rPr>
        <w:t>;</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6</w:t>
      </w:r>
      <w:r>
        <w:rPr>
          <w:rFonts w:ascii="仿宋" w:eastAsia="仿宋" w:hAnsi="仿宋" w:hint="eastAsia"/>
          <w:sz w:val="28"/>
          <w:szCs w:val="28"/>
        </w:rPr>
        <w:t>面板有无松动、松脱、剥离等现象</w:t>
      </w:r>
      <w:r>
        <w:rPr>
          <w:rFonts w:ascii="仿宋" w:eastAsia="仿宋" w:hAnsi="仿宋"/>
          <w:sz w:val="28"/>
          <w:szCs w:val="28"/>
        </w:rPr>
        <w:t>;</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7</w:t>
      </w:r>
      <w:r>
        <w:rPr>
          <w:rFonts w:ascii="仿宋" w:eastAsia="仿宋" w:hAnsi="仿宋" w:hint="eastAsia"/>
          <w:sz w:val="28"/>
          <w:szCs w:val="28"/>
        </w:rPr>
        <w:t>面板之间有无不正常挤压、错位及变形。</w:t>
      </w:r>
    </w:p>
    <w:p>
      <w:pPr>
        <w:pStyle w:val="55"/>
        <w:widowControl/>
        <w:tabs>
          <w:tab w:val="left" w:pos="567"/>
        </w:tabs>
        <w:spacing w:line="360" w:lineRule="auto"/>
        <w:ind w:firstLineChars="0" w:firstLine="0"/>
        <w:jc w:val="left"/>
        <w:rPr>
          <w:rFonts w:ascii="仿宋" w:eastAsia="仿宋" w:hAnsi="仿宋"/>
          <w:sz w:val="28"/>
          <w:szCs w:val="28"/>
        </w:rPr>
      </w:pPr>
      <w:r>
        <w:rPr>
          <w:rFonts w:ascii="仿宋" w:eastAsia="仿宋" w:hAnsi="仿宋"/>
          <w:sz w:val="28"/>
          <w:szCs w:val="28"/>
        </w:rPr>
        <w:t>4.5.2</w:t>
      </w:r>
      <w:r>
        <w:rPr>
          <w:rFonts w:ascii="仿宋" w:eastAsia="仿宋" w:hAnsi="仿宋" w:hint="eastAsia"/>
          <w:sz w:val="28"/>
          <w:szCs w:val="28"/>
        </w:rPr>
        <w:t>室外装饰构件检查包括以下内容：</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1</w:t>
      </w:r>
      <w:r>
        <w:rPr>
          <w:rFonts w:ascii="仿宋" w:eastAsia="仿宋" w:hAnsi="仿宋" w:hint="eastAsia"/>
          <w:sz w:val="28"/>
          <w:szCs w:val="28"/>
        </w:rPr>
        <w:t>脆性构件有无破碎、破裂等现象；</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2</w:t>
      </w:r>
      <w:r>
        <w:rPr>
          <w:rFonts w:ascii="仿宋" w:eastAsia="仿宋" w:hAnsi="仿宋" w:hint="eastAsia"/>
          <w:sz w:val="28"/>
          <w:szCs w:val="28"/>
        </w:rPr>
        <w:t>构件有无松动、松脱、裂纹等现象；</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3</w:t>
      </w:r>
      <w:r>
        <w:rPr>
          <w:rFonts w:ascii="仿宋" w:eastAsia="仿宋" w:hAnsi="仿宋" w:hint="eastAsia"/>
          <w:sz w:val="28"/>
          <w:szCs w:val="28"/>
        </w:rPr>
        <w:t>构件有无不正常挤压、错位及变形。</w:t>
      </w:r>
    </w:p>
    <w:p>
      <w:pPr>
        <w:pStyle w:val="55"/>
        <w:widowControl/>
        <w:tabs>
          <w:tab w:val="left" w:pos="284"/>
          <w:tab w:val="left" w:pos="567"/>
        </w:tabs>
        <w:spacing w:line="360" w:lineRule="auto"/>
        <w:ind w:firstLineChars="0" w:firstLine="0"/>
        <w:jc w:val="left"/>
        <w:rPr>
          <w:rFonts w:ascii="仿宋" w:eastAsia="仿宋" w:hAnsi="仿宋"/>
          <w:sz w:val="28"/>
          <w:szCs w:val="28"/>
        </w:rPr>
      </w:pPr>
      <w:r>
        <w:rPr>
          <w:rFonts w:ascii="仿宋" w:eastAsia="仿宋" w:hAnsi="仿宋"/>
          <w:sz w:val="28"/>
          <w:szCs w:val="28"/>
        </w:rPr>
        <w:t>4.5.3</w:t>
      </w:r>
      <w:r>
        <w:rPr>
          <w:rFonts w:ascii="仿宋" w:eastAsia="仿宋" w:hAnsi="仿宋" w:hint="eastAsia"/>
          <w:sz w:val="28"/>
          <w:szCs w:val="28"/>
        </w:rPr>
        <w:t>开启窗检查包括以下内容：</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1</w:t>
      </w:r>
      <w:r>
        <w:rPr>
          <w:rFonts w:ascii="仿宋" w:eastAsia="仿宋" w:hAnsi="仿宋" w:hint="eastAsia"/>
          <w:sz w:val="28"/>
          <w:szCs w:val="28"/>
        </w:rPr>
        <w:t>合页（铰链）、滑撑、撑挡、执手、锁点、锁座等五金配件有无损坏、松脱或缺失等现象；</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2</w:t>
      </w:r>
      <w:r>
        <w:rPr>
          <w:rFonts w:ascii="仿宋" w:eastAsia="仿宋" w:hAnsi="仿宋" w:hint="eastAsia"/>
          <w:sz w:val="28"/>
          <w:szCs w:val="28"/>
        </w:rPr>
        <w:t>固定开启窗五金配件的螺钉有无损坏、缺失或严重锈蚀等现象；</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3</w:t>
      </w:r>
      <w:r>
        <w:rPr>
          <w:rFonts w:ascii="仿宋" w:eastAsia="仿宋" w:hAnsi="仿宋" w:hint="eastAsia"/>
          <w:sz w:val="28"/>
          <w:szCs w:val="28"/>
        </w:rPr>
        <w:t>开启窗有无启闭受阻、明显下坠或变形等现象；</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4</w:t>
      </w:r>
      <w:r>
        <w:rPr>
          <w:rFonts w:ascii="仿宋" w:eastAsia="仿宋" w:hAnsi="仿宋" w:hint="eastAsia"/>
          <w:sz w:val="28"/>
          <w:szCs w:val="28"/>
        </w:rPr>
        <w:t>开启窗中空玻璃下部未设托架。</w:t>
      </w:r>
    </w:p>
    <w:p>
      <w:pPr>
        <w:pStyle w:val="55"/>
        <w:widowControl/>
        <w:tabs>
          <w:tab w:val="left" w:pos="567"/>
        </w:tabs>
        <w:spacing w:line="360" w:lineRule="auto"/>
        <w:ind w:firstLineChars="0" w:firstLine="0"/>
        <w:jc w:val="left"/>
        <w:rPr>
          <w:rFonts w:ascii="仿宋" w:eastAsia="仿宋" w:hAnsi="仿宋"/>
          <w:sz w:val="28"/>
          <w:szCs w:val="28"/>
        </w:rPr>
      </w:pPr>
      <w:r>
        <w:rPr>
          <w:rFonts w:ascii="仿宋" w:eastAsia="仿宋" w:hAnsi="仿宋"/>
          <w:sz w:val="28"/>
          <w:szCs w:val="28"/>
        </w:rPr>
        <w:t>4.5.4</w:t>
      </w:r>
      <w:r>
        <w:rPr>
          <w:rFonts w:ascii="仿宋" w:eastAsia="仿宋" w:hAnsi="仿宋" w:hint="eastAsia"/>
          <w:sz w:val="28"/>
          <w:szCs w:val="28"/>
        </w:rPr>
        <w:t>受力构件检查包括以下内容：</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1</w:t>
      </w:r>
      <w:r>
        <w:rPr>
          <w:rFonts w:ascii="仿宋" w:eastAsia="仿宋" w:hAnsi="仿宋" w:hint="eastAsia"/>
          <w:sz w:val="28"/>
          <w:szCs w:val="28"/>
        </w:rPr>
        <w:t>埋件连接有无松动、位移、脱落、开焊或严重锈蚀现象；</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2</w:t>
      </w:r>
      <w:r>
        <w:rPr>
          <w:rFonts w:ascii="仿宋" w:eastAsia="仿宋" w:hAnsi="仿宋" w:hint="eastAsia"/>
          <w:sz w:val="28"/>
          <w:szCs w:val="28"/>
        </w:rPr>
        <w:t>与主体结构连接组件有无损坏，松动、缺失或严重锈蚀现象；</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3</w:t>
      </w:r>
      <w:r>
        <w:rPr>
          <w:rFonts w:ascii="仿宋" w:eastAsia="仿宋" w:hAnsi="仿宋" w:hint="eastAsia"/>
          <w:sz w:val="28"/>
          <w:szCs w:val="28"/>
        </w:rPr>
        <w:t>立柱、横梁有无连接松动、变形或严重锈蚀现象；</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4</w:t>
      </w:r>
      <w:r>
        <w:rPr>
          <w:rFonts w:ascii="仿宋" w:eastAsia="仿宋" w:hAnsi="仿宋" w:hint="eastAsia"/>
          <w:sz w:val="28"/>
          <w:szCs w:val="28"/>
        </w:rPr>
        <w:t>挂件有无缺失、变形或严重锈蚀现象；</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5</w:t>
      </w:r>
      <w:r>
        <w:rPr>
          <w:rFonts w:ascii="仿宋" w:eastAsia="仿宋" w:hAnsi="仿宋" w:hint="eastAsia"/>
          <w:sz w:val="28"/>
          <w:szCs w:val="28"/>
        </w:rPr>
        <w:t>玻璃肋有无明显裂纹、损伤；</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6</w:t>
      </w:r>
      <w:r>
        <w:rPr>
          <w:rFonts w:ascii="仿宋" w:eastAsia="仿宋" w:hAnsi="仿宋" w:hint="eastAsia"/>
          <w:sz w:val="28"/>
          <w:szCs w:val="28"/>
        </w:rPr>
        <w:t>点支承驳接头、驳接爪有无明显变形、松动；</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7</w:t>
      </w:r>
      <w:r>
        <w:rPr>
          <w:rFonts w:ascii="仿宋" w:eastAsia="仿宋" w:hAnsi="仿宋" w:hint="eastAsia"/>
          <w:sz w:val="28"/>
          <w:szCs w:val="28"/>
        </w:rPr>
        <w:t>应力索松弛、杆有无明显变形，钢绞线有无断丝、锈蚀现象。</w:t>
      </w:r>
    </w:p>
    <w:p>
      <w:pPr>
        <w:pStyle w:val="55"/>
        <w:widowControl/>
        <w:tabs>
          <w:tab w:val="left" w:pos="567"/>
        </w:tabs>
        <w:spacing w:line="360" w:lineRule="auto"/>
        <w:ind w:firstLineChars="0" w:firstLine="0"/>
        <w:jc w:val="left"/>
        <w:rPr>
          <w:rFonts w:ascii="仿宋" w:eastAsia="仿宋" w:hAnsi="仿宋"/>
          <w:sz w:val="28"/>
          <w:szCs w:val="28"/>
        </w:rPr>
      </w:pPr>
      <w:r>
        <w:rPr>
          <w:rFonts w:ascii="仿宋" w:eastAsia="仿宋" w:hAnsi="仿宋"/>
          <w:sz w:val="28"/>
          <w:szCs w:val="28"/>
        </w:rPr>
        <w:t>4.5.5</w:t>
      </w:r>
      <w:r>
        <w:rPr>
          <w:rFonts w:ascii="仿宋" w:eastAsia="仿宋" w:hAnsi="仿宋" w:hint="eastAsia"/>
          <w:sz w:val="28"/>
          <w:szCs w:val="28"/>
        </w:rPr>
        <w:t>雨水渗漏检查包括以下内容：</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1</w:t>
      </w:r>
      <w:r>
        <w:rPr>
          <w:rFonts w:ascii="仿宋" w:eastAsia="仿宋" w:hAnsi="仿宋" w:hint="eastAsia"/>
          <w:sz w:val="28"/>
          <w:szCs w:val="28"/>
        </w:rPr>
        <w:t>幕墙室内侧有无严重渗漏现象；</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2</w:t>
      </w:r>
      <w:r>
        <w:rPr>
          <w:rFonts w:ascii="仿宋" w:eastAsia="仿宋" w:hAnsi="仿宋" w:hint="eastAsia"/>
          <w:sz w:val="28"/>
          <w:szCs w:val="28"/>
        </w:rPr>
        <w:t>开启窗有无闭合不紧密，下雨时会连续渗漏现象；</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3</w:t>
      </w:r>
      <w:r>
        <w:rPr>
          <w:rFonts w:ascii="仿宋" w:eastAsia="仿宋" w:hAnsi="仿宋" w:hint="eastAsia"/>
          <w:sz w:val="28"/>
          <w:szCs w:val="28"/>
        </w:rPr>
        <w:t>密封胶有无硬化、起泡、脱胶、开裂等现象；</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4</w:t>
      </w:r>
      <w:r>
        <w:rPr>
          <w:rFonts w:ascii="仿宋" w:eastAsia="仿宋" w:hAnsi="仿宋" w:hint="eastAsia"/>
          <w:sz w:val="28"/>
          <w:szCs w:val="28"/>
        </w:rPr>
        <w:t>开放式幕墙有无镀锌板等防风雨措施。</w:t>
      </w:r>
    </w:p>
    <w:p>
      <w:pPr>
        <w:pStyle w:val="55"/>
        <w:widowControl/>
        <w:tabs>
          <w:tab w:val="left" w:pos="567"/>
        </w:tabs>
        <w:spacing w:line="360" w:lineRule="auto"/>
        <w:ind w:firstLineChars="0" w:firstLine="0"/>
        <w:jc w:val="left"/>
        <w:rPr>
          <w:rFonts w:ascii="仿宋" w:eastAsia="仿宋" w:hAnsi="仿宋"/>
          <w:sz w:val="28"/>
          <w:szCs w:val="28"/>
        </w:rPr>
      </w:pPr>
      <w:r>
        <w:rPr>
          <w:rFonts w:ascii="仿宋" w:eastAsia="仿宋" w:hAnsi="仿宋"/>
          <w:sz w:val="28"/>
          <w:szCs w:val="28"/>
        </w:rPr>
        <w:t>4.5.6</w:t>
      </w:r>
      <w:r>
        <w:rPr>
          <w:rFonts w:ascii="仿宋" w:eastAsia="仿宋" w:hAnsi="仿宋" w:hint="eastAsia"/>
          <w:sz w:val="28"/>
          <w:szCs w:val="28"/>
        </w:rPr>
        <w:t>拆改部位检查包括以下内容：</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1</w:t>
      </w:r>
      <w:r>
        <w:rPr>
          <w:rFonts w:ascii="仿宋" w:eastAsia="仿宋" w:hAnsi="仿宋" w:hint="eastAsia"/>
          <w:sz w:val="28"/>
          <w:szCs w:val="28"/>
        </w:rPr>
        <w:t>幕墙受力构件、连接构造有无拆卸、更改等现象，窗扇有无被拆卸现象；</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2</w:t>
      </w:r>
      <w:r>
        <w:rPr>
          <w:rFonts w:ascii="仿宋" w:eastAsia="仿宋" w:hAnsi="仿宋" w:hint="eastAsia"/>
          <w:sz w:val="28"/>
          <w:szCs w:val="28"/>
        </w:rPr>
        <w:t>防火封堵和防雷连接有无拆卸、更改等现象；</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3</w:t>
      </w:r>
      <w:r>
        <w:rPr>
          <w:rFonts w:ascii="仿宋" w:eastAsia="仿宋" w:hAnsi="仿宋" w:hint="eastAsia"/>
          <w:sz w:val="28"/>
          <w:szCs w:val="28"/>
        </w:rPr>
        <w:t>室内吊顶、隔墙等有无直接固定在幕墙受力构件上等现象；</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4</w:t>
      </w:r>
      <w:r>
        <w:rPr>
          <w:rFonts w:ascii="仿宋" w:eastAsia="仿宋" w:hAnsi="仿宋" w:hint="eastAsia"/>
          <w:sz w:val="28"/>
          <w:szCs w:val="28"/>
        </w:rPr>
        <w:t>有无擅自在幕墙上设置霓虹灯、招牌及广告牌等现象。</w:t>
      </w:r>
    </w:p>
    <w:p>
      <w:pPr>
        <w:pStyle w:val="55"/>
        <w:widowControl/>
        <w:tabs>
          <w:tab w:val="left" w:pos="567"/>
        </w:tabs>
        <w:spacing w:line="360" w:lineRule="auto"/>
        <w:ind w:firstLineChars="0" w:firstLine="0"/>
        <w:jc w:val="left"/>
        <w:rPr>
          <w:rFonts w:ascii="仿宋" w:eastAsia="仿宋" w:hAnsi="仿宋"/>
          <w:sz w:val="28"/>
          <w:szCs w:val="28"/>
        </w:rPr>
      </w:pPr>
      <w:bookmarkEnd w:id="5"/>
      <w:bookmarkEnd w:id="7"/>
      <w:r>
        <w:rPr>
          <w:rFonts w:ascii="仿宋" w:eastAsia="仿宋" w:hAnsi="仿宋"/>
          <w:sz w:val="28"/>
          <w:szCs w:val="28"/>
        </w:rPr>
        <w:t>4.6</w:t>
      </w:r>
      <w:r>
        <w:rPr>
          <w:rFonts w:ascii="仿宋" w:eastAsia="仿宋" w:hAnsi="仿宋" w:hint="eastAsia"/>
          <w:sz w:val="28"/>
          <w:szCs w:val="28"/>
        </w:rPr>
        <w:t>检查单元划分、抽样数量</w:t>
      </w:r>
    </w:p>
    <w:p>
      <w:pPr>
        <w:pStyle w:val="55"/>
        <w:widowControl/>
        <w:tabs>
          <w:tab w:val="left" w:pos="567"/>
        </w:tabs>
        <w:spacing w:line="360" w:lineRule="auto"/>
        <w:ind w:firstLineChars="0" w:firstLine="0"/>
        <w:jc w:val="left"/>
        <w:rPr>
          <w:rFonts w:ascii="仿宋" w:eastAsia="仿宋" w:hAnsi="仿宋"/>
          <w:sz w:val="28"/>
          <w:szCs w:val="28"/>
        </w:rPr>
      </w:pPr>
      <w:r>
        <w:rPr>
          <w:rFonts w:ascii="仿宋" w:eastAsia="仿宋" w:hAnsi="仿宋"/>
          <w:sz w:val="28"/>
          <w:szCs w:val="28"/>
        </w:rPr>
        <w:t>4.6.1</w:t>
      </w:r>
      <w:r>
        <w:rPr>
          <w:rFonts w:ascii="仿宋" w:eastAsia="仿宋" w:hAnsi="仿宋" w:hint="eastAsia"/>
          <w:sz w:val="28"/>
          <w:szCs w:val="28"/>
        </w:rPr>
        <w:t>检查单元的划分应符合下列规定：</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 xml:space="preserve">1 </w:t>
      </w:r>
      <w:r>
        <w:rPr>
          <w:rFonts w:ascii="仿宋" w:eastAsia="仿宋" w:hAnsi="仿宋" w:hint="eastAsia"/>
          <w:sz w:val="28"/>
          <w:szCs w:val="28"/>
        </w:rPr>
        <w:t>不同结构形式的幕墙应单独划分检查单元；</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 xml:space="preserve">2 </w:t>
      </w:r>
      <w:r>
        <w:rPr>
          <w:rFonts w:ascii="仿宋" w:eastAsia="仿宋" w:hAnsi="仿宋" w:hint="eastAsia"/>
          <w:sz w:val="28"/>
          <w:szCs w:val="28"/>
        </w:rPr>
        <w:t>同一结构形式的幕墙，按每</w:t>
      </w:r>
      <w:r>
        <w:rPr>
          <w:rFonts w:ascii="仿宋" w:eastAsia="仿宋" w:hAnsi="仿宋"/>
          <w:sz w:val="28"/>
          <w:szCs w:val="28"/>
        </w:rPr>
        <w:t>5000</w:t>
      </w:r>
      <w:r>
        <w:rPr>
          <w:rFonts w:ascii="宋体" w:cs="宋体" w:hAnsi="宋体" w:hint="eastAsia"/>
          <w:sz w:val="28"/>
          <w:szCs w:val="28"/>
        </w:rPr>
        <w:t>㎡</w:t>
      </w:r>
      <w:r>
        <w:rPr>
          <w:rFonts w:ascii="仿宋" w:eastAsia="仿宋" w:hAnsi="仿宋" w:hint="eastAsia"/>
          <w:sz w:val="28"/>
          <w:szCs w:val="28"/>
        </w:rPr>
        <w:t>划分为一个检查单元，不足</w:t>
      </w:r>
      <w:r>
        <w:rPr>
          <w:rFonts w:ascii="仿宋" w:eastAsia="仿宋" w:hAnsi="仿宋"/>
          <w:sz w:val="28"/>
          <w:szCs w:val="28"/>
        </w:rPr>
        <w:t>5000</w:t>
      </w:r>
      <w:r>
        <w:rPr>
          <w:rFonts w:ascii="宋体" w:cs="宋体" w:hAnsi="宋体" w:hint="eastAsia"/>
          <w:sz w:val="28"/>
          <w:szCs w:val="28"/>
        </w:rPr>
        <w:t>㎡</w:t>
      </w:r>
      <w:r>
        <w:rPr>
          <w:rFonts w:ascii="仿宋" w:eastAsia="仿宋" w:hAnsi="仿宋" w:hint="eastAsia"/>
          <w:sz w:val="28"/>
          <w:szCs w:val="28"/>
        </w:rPr>
        <w:t>时单独划分为一个检查单元。</w:t>
      </w:r>
    </w:p>
    <w:p>
      <w:pPr>
        <w:pStyle w:val="55"/>
        <w:widowControl/>
        <w:tabs>
          <w:tab w:val="left" w:pos="567"/>
        </w:tabs>
        <w:spacing w:line="360" w:lineRule="auto"/>
        <w:ind w:firstLineChars="0" w:firstLine="0"/>
        <w:jc w:val="left"/>
        <w:rPr>
          <w:rFonts w:ascii="仿宋" w:eastAsia="仿宋" w:hAnsi="仿宋"/>
          <w:sz w:val="28"/>
          <w:szCs w:val="28"/>
        </w:rPr>
      </w:pPr>
      <w:r>
        <w:rPr>
          <w:rFonts w:ascii="仿宋" w:eastAsia="仿宋" w:hAnsi="仿宋"/>
          <w:sz w:val="28"/>
          <w:szCs w:val="28"/>
        </w:rPr>
        <w:t>4.6.2</w:t>
      </w:r>
      <w:r>
        <w:rPr>
          <w:rFonts w:ascii="仿宋" w:eastAsia="仿宋" w:hAnsi="仿宋" w:hint="eastAsia"/>
          <w:sz w:val="28"/>
          <w:szCs w:val="28"/>
        </w:rPr>
        <w:t>每一检查单元抽样数量应符合以下规定：</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1</w:t>
      </w:r>
      <w:r>
        <w:rPr>
          <w:rFonts w:ascii="仿宋" w:eastAsia="仿宋" w:hAnsi="仿宋" w:hint="eastAsia"/>
          <w:sz w:val="28"/>
          <w:szCs w:val="28"/>
        </w:rPr>
        <w:t>幕墙面板全数检查；</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2</w:t>
      </w:r>
      <w:r>
        <w:rPr>
          <w:rFonts w:ascii="仿宋" w:eastAsia="仿宋" w:hAnsi="仿宋" w:hint="eastAsia"/>
          <w:sz w:val="28"/>
          <w:szCs w:val="28"/>
        </w:rPr>
        <w:t>室外装饰构件检查随机抽取</w:t>
      </w:r>
      <w:r>
        <w:rPr>
          <w:rFonts w:ascii="仿宋" w:eastAsia="仿宋" w:hAnsi="仿宋"/>
          <w:sz w:val="28"/>
          <w:szCs w:val="28"/>
        </w:rPr>
        <w:t>2%</w:t>
      </w:r>
      <w:r>
        <w:rPr>
          <w:rFonts w:ascii="仿宋" w:eastAsia="仿宋" w:hAnsi="仿宋" w:hint="eastAsia"/>
          <w:sz w:val="28"/>
          <w:szCs w:val="28"/>
        </w:rPr>
        <w:t>，且不少于</w:t>
      </w:r>
      <w:r>
        <w:rPr>
          <w:rFonts w:ascii="仿宋" w:eastAsia="仿宋" w:hAnsi="仿宋"/>
          <w:sz w:val="28"/>
          <w:szCs w:val="28"/>
        </w:rPr>
        <w:t>5</w:t>
      </w:r>
      <w:r>
        <w:rPr>
          <w:rFonts w:ascii="仿宋" w:eastAsia="仿宋" w:hAnsi="仿宋" w:hint="eastAsia"/>
          <w:sz w:val="28"/>
          <w:szCs w:val="28"/>
        </w:rPr>
        <w:t>处；</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3</w:t>
      </w:r>
      <w:r>
        <w:rPr>
          <w:rFonts w:ascii="仿宋" w:eastAsia="仿宋" w:hAnsi="仿宋" w:hint="eastAsia"/>
          <w:sz w:val="28"/>
          <w:szCs w:val="28"/>
        </w:rPr>
        <w:t>开启窗检查随机抽取</w:t>
      </w:r>
      <w:r>
        <w:rPr>
          <w:rFonts w:ascii="仿宋" w:eastAsia="仿宋" w:hAnsi="仿宋"/>
          <w:sz w:val="28"/>
          <w:szCs w:val="28"/>
        </w:rPr>
        <w:t>2%</w:t>
      </w:r>
      <w:r>
        <w:rPr>
          <w:rFonts w:ascii="仿宋" w:eastAsia="仿宋" w:hAnsi="仿宋" w:hint="eastAsia"/>
          <w:sz w:val="28"/>
          <w:szCs w:val="28"/>
        </w:rPr>
        <w:t>，且不少于</w:t>
      </w:r>
      <w:r>
        <w:rPr>
          <w:rFonts w:ascii="仿宋" w:eastAsia="仿宋" w:hAnsi="仿宋"/>
          <w:sz w:val="28"/>
          <w:szCs w:val="28"/>
        </w:rPr>
        <w:t>5</w:t>
      </w:r>
      <w:r>
        <w:rPr>
          <w:rFonts w:ascii="仿宋" w:eastAsia="仿宋" w:hAnsi="仿宋" w:hint="eastAsia"/>
          <w:sz w:val="28"/>
          <w:szCs w:val="28"/>
        </w:rPr>
        <w:t>处；</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4</w:t>
      </w:r>
      <w:r>
        <w:rPr>
          <w:rFonts w:ascii="仿宋" w:eastAsia="仿宋" w:hAnsi="仿宋" w:hint="eastAsia"/>
          <w:sz w:val="28"/>
          <w:szCs w:val="28"/>
        </w:rPr>
        <w:t>受力构件应按各类节点总数的</w:t>
      </w:r>
      <w:r>
        <w:rPr>
          <w:rFonts w:ascii="仿宋" w:eastAsia="仿宋" w:hAnsi="仿宋"/>
          <w:sz w:val="28"/>
          <w:szCs w:val="28"/>
        </w:rPr>
        <w:t>3%</w:t>
      </w:r>
      <w:r>
        <w:rPr>
          <w:rFonts w:ascii="仿宋" w:eastAsia="仿宋" w:hAnsi="仿宋" w:hint="eastAsia"/>
          <w:sz w:val="28"/>
          <w:szCs w:val="28"/>
        </w:rPr>
        <w:t>抽查，每类节点不应少于</w:t>
      </w:r>
      <w:r>
        <w:rPr>
          <w:rFonts w:ascii="仿宋" w:eastAsia="仿宋" w:hAnsi="仿宋"/>
          <w:sz w:val="28"/>
          <w:szCs w:val="28"/>
        </w:rPr>
        <w:t>3</w:t>
      </w:r>
      <w:r>
        <w:rPr>
          <w:rFonts w:ascii="仿宋" w:eastAsia="仿宋" w:hAnsi="仿宋" w:hint="eastAsia"/>
          <w:sz w:val="28"/>
          <w:szCs w:val="28"/>
        </w:rPr>
        <w:t>个；</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5</w:t>
      </w:r>
      <w:r>
        <w:rPr>
          <w:rFonts w:ascii="仿宋" w:eastAsia="仿宋" w:hAnsi="仿宋" w:hint="eastAsia"/>
          <w:sz w:val="28"/>
          <w:szCs w:val="28"/>
        </w:rPr>
        <w:t>雨水渗漏全面检查，并抽查渗漏点周边受力构件，抽查数量取渗漏点数的</w:t>
      </w:r>
      <w:r>
        <w:rPr>
          <w:rFonts w:ascii="仿宋" w:eastAsia="仿宋" w:hAnsi="仿宋"/>
          <w:sz w:val="28"/>
          <w:szCs w:val="28"/>
        </w:rPr>
        <w:t>2%</w:t>
      </w:r>
      <w:r>
        <w:rPr>
          <w:rFonts w:ascii="仿宋" w:eastAsia="仿宋" w:hAnsi="仿宋" w:hint="eastAsia"/>
          <w:sz w:val="28"/>
          <w:szCs w:val="28"/>
        </w:rPr>
        <w:t>，且不少于</w:t>
      </w:r>
      <w:r>
        <w:rPr>
          <w:rFonts w:ascii="仿宋" w:eastAsia="仿宋" w:hAnsi="仿宋"/>
          <w:sz w:val="28"/>
          <w:szCs w:val="28"/>
        </w:rPr>
        <w:t>3</w:t>
      </w:r>
      <w:r>
        <w:rPr>
          <w:rFonts w:ascii="仿宋" w:eastAsia="仿宋" w:hAnsi="仿宋" w:hint="eastAsia"/>
          <w:sz w:val="28"/>
          <w:szCs w:val="28"/>
        </w:rPr>
        <w:t>处；</w:t>
      </w:r>
    </w:p>
    <w:p>
      <w:pPr>
        <w:pStyle w:val="55"/>
        <w:widowControl/>
        <w:tabs>
          <w:tab w:val="left" w:pos="567"/>
        </w:tabs>
        <w:spacing w:line="360" w:lineRule="auto"/>
        <w:rPr>
          <w:rFonts w:ascii="仿宋" w:eastAsia="仿宋" w:hAnsi="仿宋"/>
          <w:sz w:val="28"/>
          <w:szCs w:val="28"/>
        </w:rPr>
      </w:pPr>
      <w:r>
        <w:rPr>
          <w:rFonts w:ascii="仿宋" w:eastAsia="仿宋" w:hAnsi="仿宋"/>
          <w:sz w:val="28"/>
          <w:szCs w:val="28"/>
        </w:rPr>
        <w:t>6</w:t>
      </w:r>
      <w:r>
        <w:rPr>
          <w:rFonts w:ascii="仿宋" w:eastAsia="仿宋" w:hAnsi="仿宋" w:hint="eastAsia"/>
          <w:sz w:val="28"/>
          <w:szCs w:val="28"/>
        </w:rPr>
        <w:t>拆改部位全数检查；</w:t>
      </w:r>
    </w:p>
    <w:p>
      <w:pPr>
        <w:pStyle w:val="55"/>
        <w:widowControl/>
        <w:tabs>
          <w:tab w:val="left" w:pos="567"/>
        </w:tabs>
        <w:spacing w:line="360" w:lineRule="auto"/>
        <w:rPr>
          <w:rFonts w:ascii="仿宋" w:eastAsia="仿宋" w:hAnsi="仿宋"/>
          <w:sz w:val="28"/>
          <w:szCs w:val="28"/>
        </w:rPr>
      </w:pPr>
      <w:r>
        <w:rPr>
          <w:rFonts w:ascii="仿宋" w:eastAsia="仿宋" w:hAnsi="仿宋"/>
          <w:sz w:val="28"/>
          <w:szCs w:val="28"/>
        </w:rPr>
        <w:t>7</w:t>
      </w:r>
      <w:r>
        <w:rPr>
          <w:rFonts w:ascii="仿宋" w:eastAsia="仿宋" w:hAnsi="仿宋" w:hint="eastAsia"/>
          <w:sz w:val="28"/>
          <w:szCs w:val="28"/>
        </w:rPr>
        <w:t>对已出现异常现象的建筑幕墙，上述</w:t>
      </w:r>
      <w:r>
        <w:rPr>
          <w:rFonts w:ascii="仿宋" w:eastAsia="仿宋" w:hAnsi="仿宋"/>
          <w:sz w:val="28"/>
          <w:szCs w:val="28"/>
        </w:rPr>
        <w:t>2-5</w:t>
      </w:r>
      <w:r>
        <w:rPr>
          <w:rFonts w:ascii="仿宋" w:eastAsia="仿宋" w:hAnsi="仿宋" w:hint="eastAsia"/>
          <w:sz w:val="28"/>
          <w:szCs w:val="28"/>
        </w:rPr>
        <w:t>项抽样数量加倍。</w:t>
      </w:r>
    </w:p>
    <w:p>
      <w:pPr>
        <w:pStyle w:val="55"/>
        <w:widowControl/>
        <w:tabs>
          <w:tab w:val="left" w:pos="567"/>
        </w:tabs>
        <w:spacing w:line="360" w:lineRule="auto"/>
        <w:rPr>
          <w:rFonts w:ascii="仿宋" w:eastAsia="仿宋" w:hAnsi="仿宋"/>
          <w:sz w:val="28"/>
          <w:szCs w:val="28"/>
        </w:rPr>
      </w:pPr>
      <w:bookmarkStart w:id="9" w:name="_Toc325446114"/>
      <w:r>
        <w:rPr>
          <w:rFonts w:ascii="仿宋" w:eastAsia="仿宋" w:hAnsi="仿宋"/>
          <w:sz w:val="28"/>
          <w:szCs w:val="28"/>
        </w:rPr>
        <w:t>8</w:t>
      </w:r>
      <w:r>
        <w:rPr>
          <w:rFonts w:ascii="仿宋" w:eastAsia="仿宋" w:hAnsi="仿宋" w:hint="eastAsia"/>
          <w:sz w:val="28"/>
          <w:szCs w:val="28"/>
        </w:rPr>
        <w:t>建筑玻璃幕墙采用结构硅酮密封胶进行结构粘接装配的，竣工验收满十年时，应对不同部位的粘结性能进行抽样检测，此后宜每三年检测一次。</w:t>
      </w:r>
    </w:p>
    <w:p>
      <w:pPr>
        <w:pStyle w:val="55"/>
        <w:widowControl/>
        <w:tabs>
          <w:tab w:val="left" w:pos="567"/>
        </w:tabs>
        <w:spacing w:line="360" w:lineRule="auto"/>
        <w:rPr>
          <w:rFonts w:ascii="Times New Roman" w:eastAsia="黑体" w:hAnsi="Times New Roman"/>
          <w:b/>
          <w:sz w:val="32"/>
          <w:szCs w:val="32"/>
        </w:rPr>
      </w:pPr>
    </w:p>
    <w:p>
      <w:pPr>
        <w:pStyle w:val="55"/>
        <w:widowControl/>
        <w:tabs>
          <w:tab w:val="left" w:pos="567"/>
        </w:tabs>
        <w:spacing w:line="360" w:lineRule="auto"/>
        <w:jc w:val="center"/>
        <w:rPr>
          <w:rFonts w:ascii="Times New Roman" w:eastAsia="黑体" w:hAnsi="Times New Roman"/>
          <w:b/>
          <w:sz w:val="32"/>
          <w:szCs w:val="32"/>
        </w:rPr>
      </w:pPr>
    </w:p>
    <w:p>
      <w:pPr>
        <w:pStyle w:val="55"/>
        <w:widowControl/>
        <w:tabs>
          <w:tab w:val="left" w:pos="567"/>
        </w:tabs>
        <w:spacing w:line="360" w:lineRule="auto"/>
        <w:jc w:val="center"/>
        <w:rPr>
          <w:rFonts w:ascii="Times New Roman" w:eastAsia="黑体" w:hAnsi="Times New Roman"/>
          <w:b/>
          <w:sz w:val="32"/>
          <w:szCs w:val="32"/>
        </w:rPr>
      </w:pPr>
    </w:p>
    <w:p>
      <w:pPr>
        <w:pStyle w:val="55"/>
        <w:widowControl/>
        <w:tabs>
          <w:tab w:val="left" w:pos="567"/>
        </w:tabs>
        <w:spacing w:line="360" w:lineRule="auto"/>
        <w:jc w:val="center"/>
        <w:rPr>
          <w:rFonts w:ascii="Times New Roman" w:eastAsia="黑体" w:hAnsi="Times New Roman"/>
          <w:b/>
          <w:sz w:val="32"/>
          <w:szCs w:val="32"/>
        </w:rPr>
      </w:pPr>
    </w:p>
    <w:p>
      <w:pPr>
        <w:pStyle w:val="55"/>
        <w:widowControl/>
        <w:tabs>
          <w:tab w:val="left" w:pos="567"/>
        </w:tabs>
        <w:spacing w:line="360" w:lineRule="auto"/>
        <w:jc w:val="center"/>
        <w:rPr>
          <w:rFonts w:ascii="Times New Roman" w:eastAsia="黑体" w:hAnsi="Times New Roman"/>
          <w:b/>
          <w:sz w:val="32"/>
          <w:szCs w:val="32"/>
        </w:rPr>
      </w:pPr>
    </w:p>
    <w:p>
      <w:pPr>
        <w:pStyle w:val="55"/>
        <w:widowControl/>
        <w:tabs>
          <w:tab w:val="left" w:pos="567"/>
        </w:tabs>
        <w:spacing w:line="360" w:lineRule="auto"/>
        <w:jc w:val="center"/>
        <w:rPr>
          <w:rFonts w:ascii="Times New Roman" w:eastAsia="黑体" w:hAnsi="Times New Roman"/>
          <w:b/>
          <w:sz w:val="32"/>
          <w:szCs w:val="32"/>
        </w:rPr>
      </w:pPr>
    </w:p>
    <w:p>
      <w:pPr>
        <w:pStyle w:val="55"/>
        <w:widowControl/>
        <w:tabs>
          <w:tab w:val="left" w:pos="567"/>
        </w:tabs>
        <w:spacing w:line="360" w:lineRule="auto"/>
        <w:jc w:val="center"/>
        <w:rPr>
          <w:rFonts w:ascii="Times New Roman" w:eastAsia="黑体" w:hAnsi="Times New Roman"/>
          <w:b/>
          <w:sz w:val="32"/>
          <w:szCs w:val="32"/>
        </w:rPr>
      </w:pPr>
    </w:p>
    <w:p>
      <w:pPr>
        <w:pStyle w:val="55"/>
        <w:widowControl/>
        <w:tabs>
          <w:tab w:val="left" w:pos="567"/>
        </w:tabs>
        <w:spacing w:line="360" w:lineRule="auto"/>
        <w:jc w:val="center"/>
        <w:rPr>
          <w:rFonts w:ascii="Times New Roman" w:eastAsia="黑体" w:hAnsi="Times New Roman"/>
          <w:b/>
          <w:sz w:val="32"/>
          <w:szCs w:val="32"/>
        </w:rPr>
      </w:pPr>
    </w:p>
    <w:p>
      <w:pPr>
        <w:pStyle w:val="55"/>
        <w:widowControl/>
        <w:tabs>
          <w:tab w:val="left" w:pos="567"/>
        </w:tabs>
        <w:spacing w:line="360" w:lineRule="auto"/>
        <w:jc w:val="center"/>
        <w:rPr>
          <w:rFonts w:ascii="Times New Roman" w:eastAsia="黑体" w:hAnsi="Times New Roman"/>
          <w:b/>
          <w:sz w:val="32"/>
          <w:szCs w:val="32"/>
        </w:rPr>
      </w:pPr>
    </w:p>
    <w:p>
      <w:pPr>
        <w:pStyle w:val="55"/>
        <w:widowControl/>
        <w:tabs>
          <w:tab w:val="left" w:pos="567"/>
        </w:tabs>
        <w:spacing w:line="360" w:lineRule="auto"/>
        <w:jc w:val="center"/>
        <w:rPr>
          <w:rFonts w:ascii="Times New Roman" w:eastAsia="黑体" w:hAnsi="Times New Roman"/>
          <w:b/>
          <w:sz w:val="32"/>
          <w:szCs w:val="32"/>
        </w:rPr>
      </w:pPr>
    </w:p>
    <w:p>
      <w:pPr>
        <w:pStyle w:val="55"/>
        <w:widowControl/>
        <w:tabs>
          <w:tab w:val="left" w:pos="567"/>
        </w:tabs>
        <w:spacing w:line="360" w:lineRule="auto"/>
        <w:jc w:val="center"/>
        <w:rPr>
          <w:rFonts w:ascii="Times New Roman" w:eastAsia="黑体" w:hAnsi="Times New Roman"/>
          <w:b/>
          <w:sz w:val="32"/>
          <w:szCs w:val="32"/>
        </w:rPr>
      </w:pPr>
    </w:p>
    <w:p>
      <w:pPr>
        <w:pStyle w:val="55"/>
        <w:widowControl/>
        <w:tabs>
          <w:tab w:val="left" w:pos="567"/>
        </w:tabs>
        <w:spacing w:line="360" w:lineRule="auto"/>
        <w:jc w:val="center"/>
        <w:rPr>
          <w:rFonts w:ascii="Times New Roman" w:eastAsia="黑体" w:hAnsi="Times New Roman"/>
          <w:b/>
          <w:sz w:val="32"/>
          <w:szCs w:val="32"/>
        </w:rPr>
      </w:pPr>
    </w:p>
    <w:p>
      <w:pPr>
        <w:pStyle w:val="55"/>
        <w:widowControl/>
        <w:tabs>
          <w:tab w:val="left" w:pos="567"/>
        </w:tabs>
        <w:spacing w:line="360" w:lineRule="auto"/>
        <w:jc w:val="center"/>
        <w:rPr>
          <w:rFonts w:ascii="Times New Roman" w:eastAsia="黑体" w:hAnsi="Times New Roman"/>
          <w:b/>
          <w:sz w:val="32"/>
          <w:szCs w:val="32"/>
        </w:rPr>
      </w:pPr>
    </w:p>
    <w:p>
      <w:pPr>
        <w:pStyle w:val="55"/>
        <w:widowControl/>
        <w:tabs>
          <w:tab w:val="left" w:pos="567"/>
        </w:tabs>
        <w:spacing w:line="360" w:lineRule="auto"/>
        <w:jc w:val="center"/>
        <w:rPr>
          <w:rFonts w:ascii="Times New Roman" w:eastAsia="黑体" w:hAnsi="Times New Roman"/>
          <w:b/>
          <w:sz w:val="32"/>
          <w:szCs w:val="32"/>
        </w:rPr>
      </w:pPr>
    </w:p>
    <w:p>
      <w:pPr>
        <w:pStyle w:val="55"/>
        <w:widowControl/>
        <w:tabs>
          <w:tab w:val="left" w:pos="567"/>
        </w:tabs>
        <w:spacing w:line="360" w:lineRule="auto"/>
        <w:jc w:val="center"/>
        <w:rPr>
          <w:rFonts w:ascii="Times New Roman" w:eastAsia="黑体" w:hAnsi="Times New Roman"/>
          <w:b/>
          <w:sz w:val="32"/>
          <w:szCs w:val="32"/>
        </w:rPr>
      </w:pPr>
    </w:p>
    <w:p>
      <w:pPr>
        <w:pStyle w:val="55"/>
        <w:widowControl/>
        <w:tabs>
          <w:tab w:val="left" w:pos="567"/>
        </w:tabs>
        <w:spacing w:line="360" w:lineRule="auto"/>
        <w:jc w:val="center"/>
        <w:rPr>
          <w:rFonts w:ascii="Times New Roman" w:eastAsia="黑体" w:hAnsi="Times New Roman"/>
          <w:b/>
          <w:sz w:val="32"/>
          <w:szCs w:val="32"/>
        </w:rPr>
      </w:pPr>
    </w:p>
    <w:p>
      <w:pPr>
        <w:pStyle w:val="55"/>
        <w:widowControl/>
        <w:tabs>
          <w:tab w:val="left" w:pos="567"/>
        </w:tabs>
        <w:spacing w:line="360" w:lineRule="auto"/>
        <w:jc w:val="center"/>
        <w:rPr>
          <w:rFonts w:ascii="Times New Roman" w:eastAsia="黑体" w:hAnsi="Times New Roman"/>
          <w:b/>
          <w:sz w:val="32"/>
          <w:szCs w:val="32"/>
        </w:rPr>
      </w:pPr>
    </w:p>
    <w:p>
      <w:pPr>
        <w:pStyle w:val="55"/>
        <w:widowControl/>
        <w:tabs>
          <w:tab w:val="left" w:pos="567"/>
        </w:tabs>
        <w:spacing w:line="360" w:lineRule="auto"/>
        <w:jc w:val="center"/>
        <w:rPr>
          <w:rFonts w:ascii="仿宋_GB2312" w:eastAsia="仿宋_GB2312" w:hAnsi="Times New Roman"/>
          <w:sz w:val="32"/>
          <w:szCs w:val="32"/>
        </w:rPr>
      </w:pPr>
      <w:r>
        <w:rPr>
          <w:rFonts w:ascii="Times New Roman" w:eastAsia="黑体" w:hAnsi="Times New Roman"/>
          <w:b/>
          <w:sz w:val="32"/>
          <w:szCs w:val="32"/>
        </w:rPr>
        <w:br w:type="page"/>
      </w:r>
      <w:r>
        <w:rPr>
          <w:rFonts w:ascii="Times New Roman" w:eastAsia="黑体" w:hAnsi="Times New Roman"/>
          <w:b/>
          <w:sz w:val="28"/>
          <w:szCs w:val="28"/>
        </w:rPr>
        <w:t>5</w:t>
      </w:r>
      <w:r>
        <w:rPr>
          <w:rFonts w:ascii="Times New Roman" w:eastAsia="黑体" w:hAnsi="Times New Roman" w:hint="eastAsia"/>
          <w:b/>
          <w:sz w:val="28"/>
          <w:szCs w:val="28"/>
        </w:rPr>
        <w:t>检查评定</w:t>
      </w:r>
    </w:p>
    <w:p>
      <w:pPr>
        <w:pStyle w:val="55"/>
        <w:widowControl/>
        <w:tabs>
          <w:tab w:val="left" w:pos="709"/>
        </w:tabs>
        <w:spacing w:line="360" w:lineRule="auto"/>
        <w:ind w:firstLineChars="0" w:firstLine="0"/>
        <w:jc w:val="left"/>
        <w:rPr>
          <w:rFonts w:ascii="仿宋" w:eastAsia="仿宋" w:hAnsi="仿宋"/>
          <w:sz w:val="28"/>
          <w:szCs w:val="28"/>
        </w:rPr>
      </w:pPr>
      <w:bookmarkEnd w:id="9"/>
      <w:r>
        <w:rPr>
          <w:rFonts w:ascii="仿宋" w:eastAsia="仿宋" w:hAnsi="仿宋"/>
          <w:sz w:val="28"/>
          <w:szCs w:val="28"/>
        </w:rPr>
        <w:t>5.1</w:t>
      </w:r>
      <w:r>
        <w:rPr>
          <w:rFonts w:ascii="仿宋" w:eastAsia="仿宋" w:hAnsi="仿宋" w:hint="eastAsia"/>
          <w:sz w:val="28"/>
          <w:szCs w:val="28"/>
        </w:rPr>
        <w:t>检查结果评定方法</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1</w:t>
      </w:r>
      <w:r>
        <w:rPr>
          <w:rFonts w:ascii="仿宋" w:eastAsia="仿宋" w:hAnsi="仿宋" w:hint="eastAsia"/>
          <w:sz w:val="28"/>
          <w:szCs w:val="28"/>
        </w:rPr>
        <w:t>幕墙面板、室外装饰构件、开启窗、受力构件、雨水渗漏、拆改部位各项均未发现安全隐患，幕墙评定结论为：未发现明显安全隐患，加强日常维护管理。</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2</w:t>
      </w:r>
      <w:r>
        <w:rPr>
          <w:rFonts w:ascii="仿宋" w:eastAsia="仿宋" w:hAnsi="仿宋" w:hint="eastAsia"/>
          <w:sz w:val="28"/>
          <w:szCs w:val="28"/>
        </w:rPr>
        <w:t>幕墙面板、开启窗、受力构件、拆改部位四项中未发现安全隐患，仅少量（不多于</w:t>
      </w:r>
      <w:r>
        <w:rPr>
          <w:rFonts w:ascii="仿宋" w:eastAsia="仿宋" w:hAnsi="仿宋"/>
          <w:sz w:val="28"/>
          <w:szCs w:val="28"/>
        </w:rPr>
        <w:t>3</w:t>
      </w:r>
      <w:r>
        <w:rPr>
          <w:rFonts w:ascii="仿宋" w:eastAsia="仿宋" w:hAnsi="仿宋" w:hint="eastAsia"/>
          <w:sz w:val="28"/>
          <w:szCs w:val="28"/>
        </w:rPr>
        <w:t>处）开启窗渗漏或室外装饰构件少量（不多于</w:t>
      </w:r>
      <w:r>
        <w:rPr>
          <w:rFonts w:ascii="仿宋" w:eastAsia="仿宋" w:hAnsi="仿宋"/>
          <w:sz w:val="28"/>
          <w:szCs w:val="28"/>
        </w:rPr>
        <w:t>3</w:t>
      </w:r>
      <w:r>
        <w:rPr>
          <w:rFonts w:ascii="仿宋" w:eastAsia="仿宋" w:hAnsi="仿宋" w:hint="eastAsia"/>
          <w:sz w:val="28"/>
          <w:szCs w:val="28"/>
        </w:rPr>
        <w:t>处）位置有松动、松脱、裂缝现象，幕墙评定结论为：存在质量问题影响正常使用，委托专业单位进行维修或采取相应措施。</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3</w:t>
      </w:r>
      <w:r>
        <w:rPr>
          <w:rFonts w:ascii="仿宋" w:eastAsia="仿宋" w:hAnsi="仿宋" w:hint="eastAsia"/>
          <w:sz w:val="28"/>
          <w:szCs w:val="28"/>
        </w:rPr>
        <w:t>幕墙面板、开启窗、受力构件、拆改部位四项中发现</w:t>
      </w:r>
      <w:r>
        <w:rPr>
          <w:rFonts w:ascii="仿宋" w:eastAsia="仿宋" w:hAnsi="仿宋"/>
          <w:sz w:val="28"/>
          <w:szCs w:val="28"/>
        </w:rPr>
        <w:t>1</w:t>
      </w:r>
      <w:r>
        <w:rPr>
          <w:rFonts w:ascii="仿宋" w:eastAsia="仿宋" w:hAnsi="仿宋" w:hint="eastAsia"/>
          <w:sz w:val="28"/>
          <w:szCs w:val="28"/>
        </w:rPr>
        <w:t>～</w:t>
      </w:r>
      <w:r>
        <w:rPr>
          <w:rFonts w:ascii="仿宋" w:eastAsia="仿宋" w:hAnsi="仿宋"/>
          <w:sz w:val="28"/>
          <w:szCs w:val="28"/>
        </w:rPr>
        <w:t>2</w:t>
      </w:r>
      <w:r>
        <w:rPr>
          <w:rFonts w:ascii="仿宋" w:eastAsia="仿宋" w:hAnsi="仿宋" w:hint="eastAsia"/>
          <w:sz w:val="28"/>
          <w:szCs w:val="28"/>
        </w:rPr>
        <w:t>项存在安全隐患或幕墙内侧有严重渗漏、室外装饰构件多处松脱、裂纹等现象，幕墙评定结论为：存在安全隐患，应委托专业单位进行安全性检测鉴定并采取相应措施。</w:t>
      </w:r>
    </w:p>
    <w:p>
      <w:pPr>
        <w:pStyle w:val="55"/>
        <w:widowControl/>
        <w:tabs>
          <w:tab w:val="left" w:pos="567"/>
        </w:tabs>
        <w:spacing w:line="360" w:lineRule="auto"/>
        <w:jc w:val="left"/>
        <w:rPr>
          <w:rFonts w:ascii="仿宋" w:eastAsia="仿宋" w:hAnsi="仿宋"/>
          <w:sz w:val="28"/>
          <w:szCs w:val="28"/>
        </w:rPr>
      </w:pPr>
      <w:r>
        <w:rPr>
          <w:rFonts w:ascii="仿宋" w:eastAsia="仿宋" w:hAnsi="仿宋"/>
          <w:sz w:val="28"/>
          <w:szCs w:val="28"/>
        </w:rPr>
        <w:t>4</w:t>
      </w:r>
      <w:r>
        <w:rPr>
          <w:rFonts w:ascii="仿宋" w:eastAsia="仿宋" w:hAnsi="仿宋" w:hint="eastAsia"/>
          <w:sz w:val="28"/>
          <w:szCs w:val="28"/>
        </w:rPr>
        <w:t>幕墙面板、室外装饰构件、开启窗、受力构件、雨水渗漏、拆改部位均存在</w:t>
      </w:r>
      <w:r>
        <w:rPr>
          <w:rFonts w:ascii="仿宋" w:eastAsia="仿宋" w:hAnsi="仿宋"/>
          <w:sz w:val="28"/>
          <w:szCs w:val="28"/>
        </w:rPr>
        <w:t>1</w:t>
      </w:r>
      <w:r>
        <w:rPr>
          <w:rFonts w:ascii="仿宋" w:eastAsia="仿宋" w:hAnsi="仿宋" w:hint="eastAsia"/>
          <w:sz w:val="28"/>
          <w:szCs w:val="28"/>
        </w:rPr>
        <w:t>项及以上安全隐患，或出现面板坠落、开启窗坠落、受力构件、装饰构件或其他功能构件变形脱落，幕墙评定结论为：幕墙存在严重安全隐患，应立即委托专业单位进行安全性检测鉴定，并立即采取解危措施，或建议拆除（停止使用）。</w:t>
      </w:r>
    </w:p>
    <w:p>
      <w:pPr>
        <w:spacing w:line="360" w:lineRule="auto"/>
        <w:rPr>
          <w:rFonts w:ascii="仿宋_GB2312" w:eastAsia="仿宋_GB2312"/>
          <w:sz w:val="32"/>
          <w:szCs w:val="32"/>
        </w:rPr>
        <w:sectPr>
          <w:pgSz w:w="11907" w:h="16839"/>
          <w:pgMar w:top="1418" w:right="1440" w:bottom="1418" w:left="1440" w:header="720" w:footer="720" w:gutter="0"/>
          <w:pgNumType/>
          <w:cols w:num="1" w:space="720"/>
          <w:docGrid w:linePitch="312" w:charSpace="0"/>
        </w:sectPr>
      </w:pPr>
    </w:p>
    <w:p>
      <w:pPr>
        <w:pStyle w:val="55"/>
        <w:widowControl/>
        <w:numPr>
          <w:ilvl w:val="0"/>
          <w:numId w:val="4"/>
        </w:numPr>
        <w:spacing w:line="360" w:lineRule="auto"/>
        <w:ind w:left="476" w:hangingChars="170" w:hanging="476"/>
        <w:jc w:val="center"/>
        <w:outlineLvl w:val="0"/>
        <w:rPr>
          <w:rFonts w:ascii="Times New Roman" w:eastAsia="黑体" w:hAnsi="Times New Roman"/>
          <w:bCs/>
          <w:kern w:val="0"/>
          <w:sz w:val="28"/>
          <w:szCs w:val="28"/>
        </w:rPr>
        <w:sectPr>
          <w:type w:val="continuous"/>
          <w:pgSz w:w="11907" w:h="16839"/>
          <w:pgMar w:top="1418" w:right="1440" w:bottom="1418" w:left="1440" w:header="720" w:footer="720" w:gutter="0"/>
          <w:pgNumType/>
          <w:cols w:num="1" w:space="720"/>
          <w:docGrid w:linePitch="312" w:charSpace="0"/>
        </w:sectPr>
      </w:pPr>
    </w:p>
    <w:p>
      <w:pPr>
        <w:pStyle w:val="1"/>
        <w:spacing w:after="240" w:line="300" w:lineRule="auto"/>
        <w:jc w:val="center"/>
        <w:rPr>
          <w:szCs w:val="32"/>
        </w:rPr>
      </w:pPr>
      <w:r>
        <w:rPr>
          <w:sz w:val="28"/>
          <w:szCs w:val="28"/>
        </w:rPr>
        <w:t>6</w:t>
      </w:r>
      <w:r>
        <w:rPr>
          <w:rFonts w:hint="eastAsia"/>
          <w:sz w:val="28"/>
          <w:szCs w:val="28"/>
        </w:rPr>
        <w:t>专业检查</w:t>
      </w:r>
    </w:p>
    <w:p>
      <w:pPr>
        <w:pStyle w:val="55"/>
        <w:widowControl/>
        <w:tabs>
          <w:tab w:val="left" w:pos="567"/>
        </w:tabs>
        <w:spacing w:line="360" w:lineRule="auto"/>
        <w:ind w:firstLineChars="0" w:firstLine="0"/>
        <w:jc w:val="left"/>
        <w:rPr>
          <w:rFonts w:ascii="仿宋" w:eastAsia="仿宋" w:hAnsi="仿宋"/>
          <w:sz w:val="28"/>
          <w:szCs w:val="28"/>
        </w:rPr>
      </w:pPr>
      <w:r>
        <w:rPr>
          <w:rFonts w:ascii="仿宋" w:eastAsia="仿宋" w:hAnsi="仿宋"/>
          <w:sz w:val="28"/>
          <w:szCs w:val="28"/>
        </w:rPr>
        <w:t>6.1</w:t>
      </w:r>
      <w:r>
        <w:rPr>
          <w:rFonts w:ascii="仿宋" w:eastAsia="仿宋" w:hAnsi="仿宋" w:hint="eastAsia"/>
          <w:sz w:val="28"/>
          <w:szCs w:val="28"/>
        </w:rPr>
        <w:t>对存在安全隐患但无法评估其危险程度时，应委托专业单位进行安全性检测鉴定。</w:t>
      </w:r>
    </w:p>
    <w:p>
      <w:pPr>
        <w:pStyle w:val="55"/>
        <w:widowControl/>
        <w:tabs>
          <w:tab w:val="left" w:pos="567"/>
        </w:tabs>
        <w:spacing w:line="360" w:lineRule="auto"/>
        <w:ind w:firstLineChars="0" w:firstLine="0"/>
        <w:jc w:val="left"/>
        <w:rPr>
          <w:rFonts w:ascii="仿宋" w:eastAsia="仿宋" w:hAnsi="仿宋"/>
          <w:sz w:val="28"/>
          <w:szCs w:val="28"/>
        </w:rPr>
      </w:pPr>
      <w:r>
        <w:rPr>
          <w:rFonts w:ascii="仿宋" w:eastAsia="仿宋" w:hAnsi="仿宋"/>
          <w:sz w:val="28"/>
          <w:szCs w:val="28"/>
        </w:rPr>
        <w:t xml:space="preserve">6.2 </w:t>
      </w:r>
      <w:r>
        <w:rPr>
          <w:rFonts w:ascii="仿宋" w:eastAsia="仿宋" w:hAnsi="仿宋" w:hint="eastAsia"/>
          <w:sz w:val="28"/>
          <w:szCs w:val="28"/>
        </w:rPr>
        <w:t>对存在安全隐患且危害明显的工程，应委托专业单位提出加固建议并立即整改。</w:t>
      </w:r>
    </w:p>
    <w:p>
      <w:pPr>
        <w:pStyle w:val="55"/>
        <w:widowControl/>
        <w:tabs>
          <w:tab w:val="left" w:pos="567"/>
        </w:tabs>
        <w:spacing w:line="360" w:lineRule="auto"/>
        <w:ind w:firstLineChars="0" w:firstLine="0"/>
        <w:jc w:val="left"/>
        <w:rPr>
          <w:rFonts w:ascii="仿宋" w:eastAsia="仿宋" w:hAnsi="仿宋"/>
          <w:sz w:val="28"/>
          <w:szCs w:val="28"/>
        </w:rPr>
      </w:pPr>
      <w:r>
        <w:rPr>
          <w:rFonts w:ascii="仿宋" w:eastAsia="仿宋" w:hAnsi="仿宋"/>
          <w:sz w:val="28"/>
          <w:szCs w:val="28"/>
        </w:rPr>
        <w:t>6.3</w:t>
      </w:r>
      <w:r>
        <w:rPr>
          <w:rFonts w:ascii="仿宋" w:eastAsia="仿宋" w:hAnsi="仿宋" w:hint="eastAsia"/>
          <w:sz w:val="28"/>
          <w:szCs w:val="28"/>
        </w:rPr>
        <w:t>专业检查应执行国家及地方标准规范，并按照委托、调查、制订检查方案、安全维护档案资料的复查和评定、现场检查和检测、分析评定、专业检查评定报告的程序进行。</w:t>
      </w:r>
    </w:p>
    <w:p>
      <w:pPr>
        <w:pStyle w:val="55"/>
        <w:widowControl/>
        <w:spacing w:line="360" w:lineRule="auto"/>
        <w:ind w:firstLineChars="0" w:firstLine="0"/>
        <w:outlineLvl w:val="0"/>
        <w:rPr>
          <w:rFonts w:ascii="新宋体" w:eastAsia="新宋体" w:hAnsi="新宋体"/>
          <w:b/>
          <w:sz w:val="28"/>
          <w:szCs w:val="28"/>
        </w:rPr>
      </w:pPr>
    </w:p>
    <w:p>
      <w:pPr>
        <w:pStyle w:val="55"/>
        <w:widowControl/>
        <w:spacing w:line="360" w:lineRule="auto"/>
        <w:ind w:firstLineChars="0" w:firstLine="0"/>
        <w:outlineLvl w:val="0"/>
        <w:rPr>
          <w:rFonts w:ascii="新宋体" w:eastAsia="新宋体" w:hAnsi="新宋体"/>
          <w:b/>
          <w:sz w:val="28"/>
          <w:szCs w:val="28"/>
        </w:rPr>
      </w:pPr>
    </w:p>
    <w:p>
      <w:pPr>
        <w:pStyle w:val="55"/>
        <w:widowControl/>
        <w:spacing w:line="360" w:lineRule="auto"/>
        <w:ind w:firstLineChars="0" w:firstLine="0"/>
        <w:outlineLvl w:val="0"/>
        <w:rPr>
          <w:rFonts w:ascii="新宋体" w:eastAsia="新宋体" w:hAnsi="新宋体"/>
          <w:b/>
          <w:sz w:val="28"/>
          <w:szCs w:val="28"/>
        </w:rPr>
      </w:pPr>
    </w:p>
    <w:p>
      <w:pPr>
        <w:pStyle w:val="55"/>
        <w:widowControl/>
        <w:tabs>
          <w:tab w:val="center" w:pos="4513"/>
        </w:tabs>
        <w:spacing w:line="360" w:lineRule="auto"/>
        <w:ind w:firstLineChars="0" w:firstLine="0"/>
        <w:outlineLvl w:val="0"/>
        <w:rPr>
          <w:rFonts w:ascii="新宋体" w:eastAsia="新宋体" w:hAnsi="新宋体"/>
          <w:b/>
          <w:sz w:val="28"/>
          <w:szCs w:val="28"/>
        </w:rPr>
      </w:pPr>
      <w:r>
        <w:rPr>
          <w:rFonts w:ascii="新宋体" w:eastAsia="新宋体" w:hAnsi="新宋体"/>
          <w:b/>
          <w:sz w:val="28"/>
          <w:szCs w:val="28"/>
        </w:rPr>
        <w:tab/>
      </w:r>
    </w:p>
    <w:p>
      <w:pPr>
        <w:pStyle w:val="55"/>
        <w:widowControl/>
        <w:tabs>
          <w:tab w:val="center" w:pos="4513"/>
        </w:tabs>
        <w:spacing w:line="360" w:lineRule="auto"/>
        <w:ind w:firstLineChars="0" w:firstLine="0"/>
        <w:outlineLvl w:val="0"/>
        <w:rPr>
          <w:rFonts w:ascii="新宋体" w:eastAsia="新宋体" w:hAnsi="新宋体"/>
          <w:b/>
          <w:sz w:val="28"/>
          <w:szCs w:val="28"/>
        </w:rPr>
      </w:pPr>
    </w:p>
    <w:p>
      <w:pPr>
        <w:pStyle w:val="55"/>
        <w:widowControl/>
        <w:tabs>
          <w:tab w:val="center" w:pos="4513"/>
        </w:tabs>
        <w:spacing w:line="360" w:lineRule="auto"/>
        <w:ind w:firstLineChars="0" w:firstLine="0"/>
        <w:outlineLvl w:val="0"/>
        <w:rPr>
          <w:rFonts w:ascii="新宋体" w:eastAsia="新宋体" w:hAnsi="新宋体"/>
          <w:b/>
          <w:sz w:val="28"/>
          <w:szCs w:val="28"/>
        </w:rPr>
      </w:pPr>
    </w:p>
    <w:p>
      <w:pPr>
        <w:pStyle w:val="55"/>
        <w:widowControl/>
        <w:tabs>
          <w:tab w:val="center" w:pos="4513"/>
        </w:tabs>
        <w:spacing w:line="360" w:lineRule="auto"/>
        <w:ind w:firstLineChars="0" w:firstLine="0"/>
        <w:outlineLvl w:val="0"/>
        <w:rPr>
          <w:rFonts w:ascii="新宋体" w:eastAsia="新宋体" w:hAnsi="新宋体"/>
          <w:b/>
          <w:sz w:val="28"/>
          <w:szCs w:val="28"/>
        </w:rPr>
      </w:pPr>
    </w:p>
    <w:p>
      <w:pPr>
        <w:pStyle w:val="55"/>
        <w:widowControl/>
        <w:tabs>
          <w:tab w:val="center" w:pos="4513"/>
        </w:tabs>
        <w:spacing w:line="360" w:lineRule="auto"/>
        <w:ind w:firstLineChars="0" w:firstLine="0"/>
        <w:outlineLvl w:val="0"/>
        <w:rPr>
          <w:rFonts w:ascii="新宋体" w:eastAsia="新宋体" w:hAnsi="新宋体"/>
          <w:b/>
          <w:sz w:val="28"/>
          <w:szCs w:val="28"/>
        </w:rPr>
      </w:pPr>
    </w:p>
    <w:p>
      <w:pPr>
        <w:pStyle w:val="55"/>
        <w:widowControl/>
        <w:tabs>
          <w:tab w:val="center" w:pos="4513"/>
        </w:tabs>
        <w:spacing w:line="360" w:lineRule="auto"/>
        <w:ind w:firstLineChars="0" w:firstLine="0"/>
        <w:outlineLvl w:val="0"/>
        <w:rPr>
          <w:rFonts w:ascii="新宋体" w:eastAsia="新宋体" w:hAnsi="新宋体"/>
          <w:b/>
          <w:sz w:val="28"/>
          <w:szCs w:val="28"/>
        </w:rPr>
      </w:pPr>
    </w:p>
    <w:p>
      <w:pPr>
        <w:pStyle w:val="55"/>
        <w:widowControl/>
        <w:tabs>
          <w:tab w:val="center" w:pos="4513"/>
        </w:tabs>
        <w:spacing w:line="360" w:lineRule="auto"/>
        <w:ind w:firstLineChars="0" w:firstLine="0"/>
        <w:outlineLvl w:val="0"/>
        <w:rPr>
          <w:rFonts w:ascii="新宋体" w:eastAsia="新宋体" w:hAnsi="新宋体"/>
          <w:b/>
          <w:sz w:val="28"/>
          <w:szCs w:val="28"/>
        </w:rPr>
      </w:pPr>
    </w:p>
    <w:p>
      <w:pPr>
        <w:pStyle w:val="55"/>
        <w:widowControl/>
        <w:tabs>
          <w:tab w:val="center" w:pos="4513"/>
        </w:tabs>
        <w:spacing w:line="360" w:lineRule="auto"/>
        <w:ind w:firstLineChars="0" w:firstLine="0"/>
        <w:jc w:val="center"/>
        <w:outlineLvl w:val="0"/>
        <w:rPr>
          <w:rFonts w:ascii="新宋体" w:eastAsia="新宋体" w:hAnsi="新宋体"/>
          <w:b/>
          <w:sz w:val="28"/>
          <w:szCs w:val="28"/>
        </w:rPr>
      </w:pPr>
    </w:p>
    <w:p>
      <w:pPr>
        <w:pStyle w:val="55"/>
        <w:widowControl/>
        <w:tabs>
          <w:tab w:val="center" w:pos="4513"/>
        </w:tabs>
        <w:spacing w:line="360" w:lineRule="auto"/>
        <w:ind w:firstLineChars="0" w:firstLine="0"/>
        <w:jc w:val="center"/>
        <w:outlineLvl w:val="0"/>
        <w:rPr>
          <w:rFonts w:ascii="新宋体" w:eastAsia="新宋体" w:hAnsi="新宋体"/>
          <w:b/>
          <w:sz w:val="28"/>
          <w:szCs w:val="28"/>
        </w:rPr>
      </w:pPr>
    </w:p>
    <w:p>
      <w:pPr>
        <w:pStyle w:val="55"/>
        <w:widowControl/>
        <w:tabs>
          <w:tab w:val="center" w:pos="4513"/>
        </w:tabs>
        <w:spacing w:line="360" w:lineRule="auto"/>
        <w:ind w:firstLineChars="0" w:firstLine="0"/>
        <w:jc w:val="center"/>
        <w:outlineLvl w:val="0"/>
        <w:rPr>
          <w:rFonts w:ascii="新宋体" w:eastAsia="新宋体" w:hAnsi="新宋体"/>
          <w:b/>
          <w:sz w:val="28"/>
          <w:szCs w:val="28"/>
        </w:rPr>
      </w:pPr>
    </w:p>
    <w:p>
      <w:pPr>
        <w:pStyle w:val="55"/>
        <w:widowControl/>
        <w:tabs>
          <w:tab w:val="center" w:pos="4513"/>
        </w:tabs>
        <w:spacing w:line="360" w:lineRule="auto"/>
        <w:ind w:firstLineChars="0" w:firstLine="0"/>
        <w:outlineLvl w:val="0"/>
        <w:rPr>
          <w:rFonts w:ascii="新宋体" w:eastAsia="新宋体" w:hAnsi="新宋体"/>
          <w:b/>
          <w:sz w:val="32"/>
          <w:szCs w:val="32"/>
        </w:rPr>
      </w:pPr>
      <w:r>
        <w:rPr>
          <w:rFonts w:ascii="新宋体" w:eastAsia="新宋体" w:hAnsi="新宋体" w:hint="eastAsia"/>
          <w:b/>
          <w:sz w:val="32"/>
          <w:szCs w:val="32"/>
        </w:rPr>
        <w:t>附录</w:t>
      </w:r>
      <w:r>
        <w:rPr>
          <w:rFonts w:ascii="新宋体" w:eastAsia="新宋体" w:hAnsi="新宋体"/>
          <w:b/>
          <w:sz w:val="32"/>
          <w:szCs w:val="32"/>
        </w:rPr>
        <w:t xml:space="preserve">1 </w:t>
      </w:r>
      <w:r>
        <w:rPr>
          <w:rFonts w:ascii="新宋体" w:eastAsia="新宋体" w:hAnsi="新宋体" w:hint="eastAsia"/>
          <w:b/>
          <w:sz w:val="32"/>
          <w:szCs w:val="32"/>
        </w:rPr>
        <w:t xml:space="preserve">          建筑幕墙安全隐患检查方法</w:t>
      </w:r>
    </w:p>
    <w:p>
      <w:pPr>
        <w:pStyle w:val="55"/>
        <w:widowControl/>
        <w:tabs>
          <w:tab w:val="left" w:pos="567"/>
        </w:tabs>
        <w:spacing w:line="360" w:lineRule="auto"/>
        <w:ind w:firstLineChars="0" w:firstLine="0"/>
        <w:jc w:val="center"/>
        <w:rPr>
          <w:rFonts w:ascii="仿宋" w:eastAsia="仿宋" w:hAnsi="仿宋"/>
          <w:sz w:val="28"/>
          <w:szCs w:val="28"/>
        </w:rPr>
      </w:pPr>
      <w:r>
        <w:rPr>
          <w:rFonts w:ascii="仿宋" w:eastAsia="仿宋" w:hAnsi="仿宋" w:hint="eastAsia"/>
          <w:sz w:val="32"/>
          <w:szCs w:val="32"/>
        </w:rPr>
        <w:t>表</w:t>
      </w:r>
      <w:r>
        <w:rPr>
          <w:rFonts w:ascii="仿宋" w:eastAsia="仿宋" w:hAnsi="仿宋"/>
          <w:sz w:val="32"/>
          <w:szCs w:val="32"/>
        </w:rPr>
        <w:t>1.1</w:t>
      </w:r>
      <w:r>
        <w:rPr>
          <w:rFonts w:ascii="仿宋" w:eastAsia="仿宋" w:hAnsi="仿宋" w:hint="eastAsia"/>
          <w:sz w:val="32"/>
          <w:szCs w:val="32"/>
        </w:rPr>
        <w:t>玻璃幕墙安全隐患检查方法</w:t>
      </w:r>
    </w:p>
    <w:tbl>
      <w:tblPr>
        <w:jc w:val="left"/>
        <w:tblInd w:w="0" w:type="dxa"/>
        <w:tblW w:w="966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881"/>
        <w:gridCol w:w="1070"/>
        <w:gridCol w:w="5948"/>
        <w:gridCol w:w="1770"/>
      </w:tblGrid>
      <w:tr>
        <w:trPr>
          <w:trHeight w:val="369"/>
        </w:trPr>
        <w:tc>
          <w:tcPr>
            <w:tcW w:w="881" w:type="dxa"/>
            <w:tcBorders>
              <w:top w:val="single" w:sz="12" w:space="0" w:color="000000"/>
            </w:tcBorders>
            <w:vAlign w:val="center"/>
          </w:tcPr>
          <w:p>
            <w:pPr>
              <w:jc w:val="center"/>
              <w:rPr>
                <w:rFonts w:ascii="仿宋" w:eastAsia="仿宋" w:hAnsi="仿宋"/>
                <w:sz w:val="24"/>
                <w:szCs w:val="24"/>
              </w:rPr>
            </w:pPr>
            <w:r>
              <w:rPr>
                <w:rFonts w:ascii="仿宋" w:eastAsia="仿宋" w:hAnsi="仿宋" w:hint="eastAsia"/>
                <w:sz w:val="24"/>
                <w:szCs w:val="24"/>
              </w:rPr>
              <w:t>序号</w:t>
            </w:r>
          </w:p>
        </w:tc>
        <w:tc>
          <w:tcPr>
            <w:tcW w:w="1070" w:type="dxa"/>
            <w:tcBorders>
              <w:top w:val="single" w:sz="12" w:space="0" w:color="000000"/>
            </w:tcBorders>
            <w:vAlign w:val="center"/>
          </w:tcPr>
          <w:p>
            <w:pPr>
              <w:jc w:val="center"/>
              <w:rPr>
                <w:rFonts w:ascii="仿宋" w:eastAsia="仿宋" w:hAnsi="仿宋"/>
                <w:sz w:val="24"/>
                <w:szCs w:val="24"/>
              </w:rPr>
            </w:pPr>
            <w:r>
              <w:rPr>
                <w:rFonts w:ascii="仿宋" w:eastAsia="仿宋" w:hAnsi="仿宋" w:hint="eastAsia"/>
                <w:sz w:val="24"/>
                <w:szCs w:val="24"/>
              </w:rPr>
              <w:t>项目</w:t>
            </w:r>
          </w:p>
        </w:tc>
        <w:tc>
          <w:tcPr>
            <w:tcW w:w="5948" w:type="dxa"/>
            <w:tcBorders>
              <w:top w:val="single" w:sz="12" w:space="0" w:color="000000"/>
            </w:tcBorders>
            <w:vAlign w:val="center"/>
          </w:tcPr>
          <w:p>
            <w:pPr>
              <w:jc w:val="center"/>
              <w:rPr>
                <w:rFonts w:ascii="仿宋" w:eastAsia="仿宋" w:hAnsi="仿宋"/>
                <w:sz w:val="24"/>
                <w:szCs w:val="24"/>
              </w:rPr>
            </w:pPr>
            <w:r>
              <w:rPr>
                <w:rFonts w:ascii="仿宋" w:eastAsia="仿宋" w:hAnsi="仿宋" w:hint="eastAsia"/>
                <w:sz w:val="24"/>
                <w:szCs w:val="24"/>
              </w:rPr>
              <w:t>安全隐患</w:t>
            </w:r>
          </w:p>
        </w:tc>
        <w:tc>
          <w:tcPr>
            <w:tcW w:w="1770" w:type="dxa"/>
            <w:tcBorders>
              <w:top w:val="single" w:sz="12" w:space="0" w:color="000000"/>
            </w:tcBorders>
            <w:vAlign w:val="center"/>
          </w:tcPr>
          <w:p>
            <w:pPr>
              <w:jc w:val="center"/>
              <w:rPr>
                <w:rFonts w:ascii="仿宋" w:eastAsia="仿宋" w:hAnsi="仿宋"/>
                <w:sz w:val="24"/>
                <w:szCs w:val="24"/>
              </w:rPr>
            </w:pPr>
            <w:r>
              <w:rPr>
                <w:rFonts w:ascii="仿宋" w:eastAsia="仿宋" w:hAnsi="仿宋" w:hint="eastAsia"/>
                <w:sz w:val="24"/>
                <w:szCs w:val="24"/>
              </w:rPr>
              <w:t>检查方法</w:t>
            </w:r>
          </w:p>
        </w:tc>
      </w:tr>
      <w:tr>
        <w:trPr>
          <w:trHeight w:val="369"/>
        </w:trPr>
        <w:tc>
          <w:tcPr>
            <w:tcW w:w="881" w:type="dxa"/>
            <w:vMerge w:val="restart"/>
            <w:vAlign w:val="center"/>
          </w:tcPr>
          <w:p>
            <w:pPr>
              <w:jc w:val="center"/>
              <w:rPr>
                <w:rFonts w:ascii="仿宋" w:eastAsia="仿宋" w:hAnsi="仿宋"/>
                <w:sz w:val="24"/>
                <w:szCs w:val="24"/>
              </w:rPr>
            </w:pPr>
            <w:r>
              <w:rPr>
                <w:rFonts w:ascii="仿宋" w:eastAsia="仿宋" w:hAnsi="仿宋"/>
                <w:sz w:val="24"/>
                <w:szCs w:val="24"/>
              </w:rPr>
              <w:t>1</w:t>
            </w:r>
          </w:p>
        </w:tc>
        <w:tc>
          <w:tcPr>
            <w:tcW w:w="1070" w:type="dxa"/>
            <w:vMerge w:val="restart"/>
            <w:tcBorders>
              <w:top w:val="single" w:sz="6" w:space="0" w:color="000000"/>
              <w:left w:val="single" w:sz="6" w:space="0" w:color="000000"/>
              <w:right w:val="single" w:sz="6" w:space="0" w:color="000000"/>
            </w:tcBorders>
            <w:vAlign w:val="center"/>
          </w:tcPr>
          <w:p>
            <w:pPr>
              <w:jc w:val="center"/>
              <w:rPr>
                <w:rFonts w:ascii="仿宋" w:eastAsia="仿宋" w:hAnsi="仿宋"/>
                <w:sz w:val="24"/>
                <w:szCs w:val="24"/>
              </w:rPr>
            </w:pPr>
            <w:r>
              <w:rPr>
                <w:rFonts w:ascii="仿宋" w:eastAsia="仿宋" w:hAnsi="仿宋" w:hint="eastAsia"/>
                <w:sz w:val="24"/>
                <w:szCs w:val="24"/>
              </w:rPr>
              <w:t>幕墙</w:t>
            </w:r>
          </w:p>
          <w:p>
            <w:pPr>
              <w:jc w:val="center"/>
              <w:rPr>
                <w:rFonts w:ascii="仿宋" w:eastAsia="仿宋" w:hAnsi="仿宋"/>
                <w:sz w:val="24"/>
                <w:szCs w:val="24"/>
              </w:rPr>
            </w:pPr>
            <w:r>
              <w:rPr>
                <w:rFonts w:ascii="仿宋" w:eastAsia="仿宋" w:hAnsi="仿宋" w:hint="eastAsia"/>
                <w:sz w:val="24"/>
                <w:szCs w:val="24"/>
              </w:rPr>
              <w:t>面板</w:t>
            </w: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面板是非安全玻璃</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81" w:type="dxa"/>
            <w:vMerge/>
            <w:vAlign w:val="center"/>
          </w:tcPr>
          <w:p/>
        </w:tc>
        <w:tc>
          <w:tcPr>
            <w:tcW w:w="1070" w:type="dxa"/>
            <w:vMerge/>
            <w:tcBorders>
              <w:top w:val="single" w:sz="6" w:space="0" w:color="000000"/>
              <w:left w:val="single" w:sz="6" w:space="0" w:color="000000"/>
              <w:right w:val="single" w:sz="6" w:space="0" w:color="000000"/>
            </w:tcBorders>
            <w:vAlign w:val="center"/>
          </w:tcP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面板有破碎、破裂、缺损、坠落</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81" w:type="dxa"/>
            <w:vMerge/>
            <w:vAlign w:val="center"/>
          </w:tcPr>
          <w:p/>
        </w:tc>
        <w:tc>
          <w:tcPr>
            <w:tcW w:w="1070" w:type="dxa"/>
            <w:vMerge/>
            <w:tcBorders>
              <w:top w:val="single" w:sz="6" w:space="0" w:color="000000"/>
              <w:left w:val="single" w:sz="6" w:space="0" w:color="000000"/>
              <w:right w:val="single" w:sz="6" w:space="0" w:color="000000"/>
            </w:tcBorders>
            <w:vAlign w:val="center"/>
          </w:tcP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中空玻璃有起雾、结露、霉变、丁基胶出现流油</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81" w:type="dxa"/>
            <w:vMerge/>
            <w:vAlign w:val="center"/>
          </w:tcPr>
          <w:p/>
        </w:tc>
        <w:tc>
          <w:tcPr>
            <w:tcW w:w="1070" w:type="dxa"/>
            <w:vMerge/>
            <w:tcBorders>
              <w:top w:val="single" w:sz="6" w:space="0" w:color="000000"/>
              <w:left w:val="single" w:sz="6" w:space="0" w:color="000000"/>
              <w:right w:val="single" w:sz="6" w:space="0" w:color="000000"/>
            </w:tcBorders>
            <w:vAlign w:val="center"/>
          </w:tcP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4.</w:t>
            </w:r>
            <w:r>
              <w:rPr>
                <w:rFonts w:ascii="仿宋" w:eastAsia="仿宋" w:hAnsi="仿宋" w:hint="eastAsia"/>
                <w:sz w:val="24"/>
                <w:szCs w:val="24"/>
              </w:rPr>
              <w:t>夹层玻璃有分层、起泡、脱胶</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81" w:type="dxa"/>
            <w:vMerge w:val="restart"/>
            <w:vAlign w:val="center"/>
          </w:tcPr>
          <w:p>
            <w:pPr>
              <w:jc w:val="center"/>
              <w:rPr>
                <w:rFonts w:ascii="仿宋" w:eastAsia="仿宋" w:hAnsi="仿宋"/>
                <w:sz w:val="24"/>
                <w:szCs w:val="24"/>
              </w:rPr>
            </w:pPr>
            <w:r>
              <w:rPr>
                <w:rFonts w:ascii="仿宋" w:eastAsia="仿宋" w:hAnsi="仿宋"/>
                <w:sz w:val="24"/>
                <w:szCs w:val="24"/>
              </w:rPr>
              <w:t>2</w:t>
            </w:r>
          </w:p>
        </w:tc>
        <w:tc>
          <w:tcPr>
            <w:tcW w:w="1070" w:type="dxa"/>
            <w:vMerge w:val="restart"/>
            <w:tcBorders>
              <w:top w:val="single" w:sz="6" w:space="0" w:color="000000"/>
              <w:left w:val="single" w:sz="6" w:space="0" w:color="000000"/>
              <w:right w:val="single" w:sz="6" w:space="0" w:color="000000"/>
            </w:tcBorders>
            <w:vAlign w:val="center"/>
          </w:tcPr>
          <w:p>
            <w:pPr>
              <w:jc w:val="center"/>
              <w:rPr>
                <w:rFonts w:ascii="仿宋" w:eastAsia="仿宋" w:hAnsi="仿宋"/>
                <w:sz w:val="24"/>
                <w:szCs w:val="24"/>
              </w:rPr>
            </w:pPr>
            <w:r>
              <w:rPr>
                <w:rFonts w:ascii="仿宋" w:eastAsia="仿宋" w:hAnsi="仿宋" w:hint="eastAsia"/>
                <w:sz w:val="24"/>
                <w:szCs w:val="24"/>
              </w:rPr>
              <w:t>室外装饰构件</w:t>
            </w: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脆性构件有破碎、破裂等</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81" w:type="dxa"/>
            <w:vMerge/>
            <w:vAlign w:val="center"/>
          </w:tcPr>
          <w:p/>
        </w:tc>
        <w:tc>
          <w:tcPr>
            <w:tcW w:w="1070" w:type="dxa"/>
            <w:vMerge/>
            <w:tcBorders>
              <w:top w:val="single" w:sz="6" w:space="0" w:color="000000"/>
              <w:left w:val="single" w:sz="6" w:space="0" w:color="000000"/>
              <w:right w:val="single" w:sz="6" w:space="0" w:color="000000"/>
            </w:tcBorders>
            <w:vAlign w:val="center"/>
          </w:tcP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构件有松动、松脱、裂纹等</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81" w:type="dxa"/>
            <w:vMerge/>
            <w:vAlign w:val="center"/>
          </w:tcPr>
          <w:p/>
        </w:tc>
        <w:tc>
          <w:tcPr>
            <w:tcW w:w="1070" w:type="dxa"/>
            <w:vMerge/>
            <w:tcBorders>
              <w:top w:val="single" w:sz="6" w:space="0" w:color="000000"/>
              <w:left w:val="single" w:sz="6" w:space="0" w:color="000000"/>
              <w:right w:val="single" w:sz="6" w:space="0" w:color="000000"/>
            </w:tcBorders>
            <w:vAlign w:val="center"/>
          </w:tcP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构件有不正常挤压、错位或变形现象</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81" w:type="dxa"/>
            <w:vMerge w:val="restart"/>
            <w:vAlign w:val="center"/>
          </w:tcPr>
          <w:p>
            <w:pPr>
              <w:jc w:val="center"/>
              <w:rPr>
                <w:rFonts w:ascii="仿宋" w:eastAsia="仿宋" w:hAnsi="仿宋"/>
                <w:sz w:val="24"/>
                <w:szCs w:val="24"/>
              </w:rPr>
            </w:pPr>
            <w:r>
              <w:rPr>
                <w:rFonts w:ascii="仿宋" w:eastAsia="仿宋" w:hAnsi="仿宋"/>
                <w:sz w:val="24"/>
                <w:szCs w:val="24"/>
              </w:rPr>
              <w:t>3</w:t>
            </w:r>
          </w:p>
        </w:tc>
        <w:tc>
          <w:tcPr>
            <w:tcW w:w="1070" w:type="dxa"/>
            <w:vMerge w:val="restart"/>
            <w:tcBorders>
              <w:top w:val="single" w:sz="6" w:space="0" w:color="000000"/>
              <w:left w:val="single" w:sz="6" w:space="0" w:color="000000"/>
              <w:right w:val="single" w:sz="6" w:space="0" w:color="000000"/>
            </w:tcBorders>
            <w:vAlign w:val="center"/>
          </w:tcPr>
          <w:p>
            <w:pPr>
              <w:jc w:val="center"/>
              <w:rPr>
                <w:rFonts w:ascii="仿宋" w:eastAsia="仿宋" w:hAnsi="仿宋"/>
                <w:sz w:val="24"/>
                <w:szCs w:val="24"/>
              </w:rPr>
            </w:pPr>
            <w:r>
              <w:rPr>
                <w:rFonts w:ascii="仿宋" w:eastAsia="仿宋" w:hAnsi="仿宋" w:hint="eastAsia"/>
                <w:sz w:val="24"/>
                <w:szCs w:val="24"/>
              </w:rPr>
              <w:t>开启窗</w:t>
            </w: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合页（铰链）、滑撑、撑挡、执手、锁点、锁座等五金配件有损坏、松脱或缺失</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目测、手试</w:t>
            </w:r>
          </w:p>
        </w:tc>
      </w:tr>
      <w:tr>
        <w:trPr>
          <w:trHeight w:val="369"/>
        </w:trPr>
        <w:tc>
          <w:tcPr>
            <w:tcW w:w="881" w:type="dxa"/>
            <w:vMerge/>
            <w:vAlign w:val="center"/>
          </w:tcPr>
          <w:p/>
        </w:tc>
        <w:tc>
          <w:tcPr>
            <w:tcW w:w="1070" w:type="dxa"/>
            <w:vMerge/>
            <w:tcBorders>
              <w:top w:val="single" w:sz="6" w:space="0" w:color="000000"/>
              <w:left w:val="single" w:sz="6" w:space="0" w:color="000000"/>
              <w:right w:val="single" w:sz="6" w:space="0" w:color="000000"/>
            </w:tcBorders>
            <w:vAlign w:val="center"/>
          </w:tcP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固定开启窗五金配件的螺钉有损坏、缺失或严重锈蚀</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81" w:type="dxa"/>
            <w:vMerge/>
            <w:vAlign w:val="center"/>
          </w:tcPr>
          <w:p/>
        </w:tc>
        <w:tc>
          <w:tcPr>
            <w:tcW w:w="1070" w:type="dxa"/>
            <w:vMerge/>
            <w:tcBorders>
              <w:top w:val="single" w:sz="6" w:space="0" w:color="000000"/>
              <w:left w:val="single" w:sz="6" w:space="0" w:color="000000"/>
              <w:right w:val="single" w:sz="6" w:space="0" w:color="000000"/>
            </w:tcBorders>
            <w:vAlign w:val="center"/>
          </w:tcP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开启窗启闭受阻、明显下坠或变形</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目测、手试</w:t>
            </w:r>
          </w:p>
        </w:tc>
      </w:tr>
      <w:tr>
        <w:trPr>
          <w:trHeight w:val="369"/>
        </w:trPr>
        <w:tc>
          <w:tcPr>
            <w:tcW w:w="881" w:type="dxa"/>
            <w:vMerge/>
            <w:vAlign w:val="center"/>
          </w:tcPr>
          <w:p/>
        </w:tc>
        <w:tc>
          <w:tcPr>
            <w:tcW w:w="1070" w:type="dxa"/>
            <w:vMerge/>
            <w:tcBorders>
              <w:top w:val="single" w:sz="6" w:space="0" w:color="000000"/>
              <w:left w:val="single" w:sz="6" w:space="0" w:color="000000"/>
              <w:right w:val="single" w:sz="6" w:space="0" w:color="000000"/>
            </w:tcBorders>
            <w:vAlign w:val="center"/>
          </w:tcP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4.</w:t>
            </w:r>
            <w:r>
              <w:rPr>
                <w:rFonts w:ascii="仿宋" w:eastAsia="仿宋" w:hAnsi="仿宋" w:hint="eastAsia"/>
                <w:sz w:val="24"/>
                <w:szCs w:val="24"/>
              </w:rPr>
              <w:t>外开开启窗中空玻璃下部未设托架</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81" w:type="dxa"/>
            <w:vMerge w:val="restart"/>
            <w:vAlign w:val="center"/>
          </w:tcPr>
          <w:p>
            <w:pPr>
              <w:jc w:val="center"/>
              <w:rPr>
                <w:rFonts w:ascii="仿宋" w:eastAsia="仿宋" w:hAnsi="仿宋"/>
                <w:sz w:val="24"/>
                <w:szCs w:val="24"/>
              </w:rPr>
            </w:pPr>
            <w:r>
              <w:rPr>
                <w:rFonts w:ascii="仿宋" w:eastAsia="仿宋" w:hAnsi="仿宋"/>
                <w:sz w:val="24"/>
                <w:szCs w:val="24"/>
              </w:rPr>
              <w:t>4</w:t>
            </w:r>
          </w:p>
        </w:tc>
        <w:tc>
          <w:tcPr>
            <w:tcW w:w="1070" w:type="dxa"/>
            <w:vMerge w:val="restart"/>
            <w:tcBorders>
              <w:top w:val="single" w:sz="6" w:space="0" w:color="000000"/>
              <w:left w:val="single" w:sz="6" w:space="0" w:color="000000"/>
              <w:right w:val="single" w:sz="6" w:space="0" w:color="000000"/>
            </w:tcBorders>
            <w:vAlign w:val="center"/>
          </w:tcPr>
          <w:p>
            <w:pPr>
              <w:jc w:val="center"/>
              <w:rPr>
                <w:rFonts w:ascii="仿宋" w:eastAsia="仿宋" w:hAnsi="仿宋"/>
                <w:sz w:val="24"/>
                <w:szCs w:val="24"/>
              </w:rPr>
            </w:pPr>
            <w:r>
              <w:rPr>
                <w:rFonts w:ascii="仿宋" w:eastAsia="仿宋" w:hAnsi="仿宋" w:hint="eastAsia"/>
                <w:sz w:val="24"/>
                <w:szCs w:val="24"/>
              </w:rPr>
              <w:t>受力</w:t>
            </w:r>
          </w:p>
          <w:p>
            <w:pPr>
              <w:jc w:val="center"/>
              <w:rPr>
                <w:rFonts w:ascii="仿宋" w:eastAsia="仿宋" w:hAnsi="仿宋"/>
                <w:sz w:val="24"/>
                <w:szCs w:val="24"/>
              </w:rPr>
            </w:pPr>
            <w:r>
              <w:rPr>
                <w:rFonts w:ascii="仿宋" w:eastAsia="仿宋" w:hAnsi="仿宋" w:hint="eastAsia"/>
                <w:sz w:val="24"/>
                <w:szCs w:val="24"/>
              </w:rPr>
              <w:t>构件</w:t>
            </w: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埋件连接松动、位移、脱落、开焊或严重锈蚀；</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目测或内窥镜</w:t>
            </w:r>
          </w:p>
        </w:tc>
      </w:tr>
      <w:tr>
        <w:trPr>
          <w:trHeight w:val="369"/>
        </w:trPr>
        <w:tc>
          <w:tcPr>
            <w:tcW w:w="881" w:type="dxa"/>
            <w:vMerge/>
            <w:vAlign w:val="center"/>
          </w:tcPr>
          <w:p/>
        </w:tc>
        <w:tc>
          <w:tcPr>
            <w:tcW w:w="1070" w:type="dxa"/>
            <w:vMerge/>
            <w:tcBorders>
              <w:top w:val="single" w:sz="6" w:space="0" w:color="000000"/>
              <w:left w:val="single" w:sz="6" w:space="0" w:color="000000"/>
              <w:right w:val="single" w:sz="6" w:space="0" w:color="000000"/>
            </w:tcBorders>
            <w:vAlign w:val="center"/>
          </w:tcP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与主体结构连接组件有损坏，松动、缺失或严重锈蚀</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目测或内窥镜</w:t>
            </w:r>
          </w:p>
        </w:tc>
      </w:tr>
      <w:tr>
        <w:trPr>
          <w:trHeight w:val="369"/>
        </w:trPr>
        <w:tc>
          <w:tcPr>
            <w:tcW w:w="881" w:type="dxa"/>
            <w:vMerge/>
            <w:vAlign w:val="center"/>
          </w:tcPr>
          <w:p/>
        </w:tc>
        <w:tc>
          <w:tcPr>
            <w:tcW w:w="1070" w:type="dxa"/>
            <w:vMerge/>
            <w:tcBorders>
              <w:top w:val="single" w:sz="6" w:space="0" w:color="000000"/>
              <w:left w:val="single" w:sz="6" w:space="0" w:color="000000"/>
              <w:right w:val="single" w:sz="6" w:space="0" w:color="000000"/>
            </w:tcBorders>
            <w:vAlign w:val="center"/>
          </w:tcP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立柱、横梁连接松动、变形或严重锈蚀</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目测或内窥镜</w:t>
            </w:r>
          </w:p>
        </w:tc>
      </w:tr>
      <w:tr>
        <w:trPr>
          <w:trHeight w:val="369"/>
        </w:trPr>
        <w:tc>
          <w:tcPr>
            <w:tcW w:w="881" w:type="dxa"/>
            <w:vMerge/>
            <w:vAlign w:val="center"/>
          </w:tcPr>
          <w:p/>
        </w:tc>
        <w:tc>
          <w:tcPr>
            <w:tcW w:w="1070" w:type="dxa"/>
            <w:vMerge/>
            <w:tcBorders>
              <w:top w:val="single" w:sz="6" w:space="0" w:color="000000"/>
              <w:left w:val="single" w:sz="6" w:space="0" w:color="000000"/>
              <w:right w:val="single" w:sz="6" w:space="0" w:color="000000"/>
            </w:tcBorders>
            <w:vAlign w:val="center"/>
          </w:tcP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4.</w:t>
            </w:r>
            <w:r>
              <w:rPr>
                <w:rFonts w:ascii="仿宋" w:eastAsia="仿宋" w:hAnsi="仿宋" w:hint="eastAsia"/>
                <w:sz w:val="24"/>
                <w:szCs w:val="24"/>
              </w:rPr>
              <w:t>玻璃肋有明显裂纹、损伤</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目测或内窥镜</w:t>
            </w:r>
          </w:p>
        </w:tc>
      </w:tr>
      <w:tr>
        <w:trPr>
          <w:trHeight w:val="369"/>
        </w:trPr>
        <w:tc>
          <w:tcPr>
            <w:tcW w:w="881" w:type="dxa"/>
            <w:vMerge/>
            <w:vAlign w:val="center"/>
          </w:tcPr>
          <w:p/>
        </w:tc>
        <w:tc>
          <w:tcPr>
            <w:tcW w:w="1070" w:type="dxa"/>
            <w:vMerge/>
            <w:tcBorders>
              <w:top w:val="single" w:sz="6" w:space="0" w:color="000000"/>
              <w:left w:val="single" w:sz="6" w:space="0" w:color="000000"/>
              <w:right w:val="single" w:sz="6" w:space="0" w:color="000000"/>
            </w:tcBorders>
            <w:vAlign w:val="center"/>
          </w:tcP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5.</w:t>
            </w:r>
            <w:r>
              <w:rPr>
                <w:rFonts w:ascii="仿宋" w:eastAsia="仿宋" w:hAnsi="仿宋" w:hint="eastAsia"/>
                <w:sz w:val="24"/>
                <w:szCs w:val="24"/>
              </w:rPr>
              <w:t>点支承驳接头、驳接爪明显变形、松动</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目测或内窥镜</w:t>
            </w:r>
          </w:p>
        </w:tc>
      </w:tr>
      <w:tr>
        <w:trPr>
          <w:trHeight w:val="369"/>
        </w:trPr>
        <w:tc>
          <w:tcPr>
            <w:tcW w:w="881" w:type="dxa"/>
            <w:vMerge/>
            <w:vAlign w:val="center"/>
          </w:tcPr>
          <w:p/>
        </w:tc>
        <w:tc>
          <w:tcPr>
            <w:tcW w:w="1070" w:type="dxa"/>
            <w:vMerge/>
            <w:tcBorders>
              <w:top w:val="single" w:sz="6" w:space="0" w:color="000000"/>
              <w:left w:val="single" w:sz="6" w:space="0" w:color="000000"/>
              <w:right w:val="single" w:sz="6" w:space="0" w:color="000000"/>
            </w:tcBorders>
            <w:vAlign w:val="center"/>
          </w:tcP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6.</w:t>
            </w:r>
            <w:r>
              <w:rPr>
                <w:rFonts w:ascii="仿宋" w:eastAsia="仿宋" w:hAnsi="仿宋" w:hint="eastAsia"/>
                <w:sz w:val="24"/>
                <w:szCs w:val="24"/>
              </w:rPr>
              <w:t>应力索松弛、杆明显变形，钢绞线有断丝、锈蚀</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目测或内窥镜</w:t>
            </w:r>
          </w:p>
        </w:tc>
      </w:tr>
      <w:tr>
        <w:trPr>
          <w:trHeight w:val="369"/>
        </w:trPr>
        <w:tc>
          <w:tcPr>
            <w:tcW w:w="881" w:type="dxa"/>
            <w:vMerge w:val="restart"/>
            <w:vAlign w:val="center"/>
          </w:tcPr>
          <w:p>
            <w:pPr>
              <w:jc w:val="center"/>
              <w:rPr>
                <w:rFonts w:ascii="仿宋" w:eastAsia="仿宋" w:hAnsi="仿宋"/>
                <w:sz w:val="24"/>
                <w:szCs w:val="24"/>
              </w:rPr>
            </w:pPr>
            <w:r>
              <w:rPr>
                <w:rFonts w:ascii="仿宋" w:eastAsia="仿宋" w:hAnsi="仿宋"/>
                <w:sz w:val="24"/>
                <w:szCs w:val="24"/>
              </w:rPr>
              <w:t>5</w:t>
            </w:r>
          </w:p>
        </w:tc>
        <w:tc>
          <w:tcPr>
            <w:tcW w:w="1070" w:type="dxa"/>
            <w:vMerge w:val="restart"/>
            <w:tcBorders>
              <w:top w:val="single" w:sz="6" w:space="0" w:color="000000"/>
              <w:left w:val="single" w:sz="6" w:space="0" w:color="000000"/>
              <w:right w:val="single" w:sz="6" w:space="0" w:color="000000"/>
            </w:tcBorders>
            <w:vAlign w:val="center"/>
          </w:tcPr>
          <w:p>
            <w:pPr>
              <w:jc w:val="center"/>
              <w:rPr>
                <w:rFonts w:ascii="仿宋" w:eastAsia="仿宋" w:hAnsi="仿宋"/>
                <w:sz w:val="24"/>
                <w:szCs w:val="24"/>
              </w:rPr>
            </w:pPr>
            <w:r>
              <w:rPr>
                <w:rFonts w:ascii="仿宋" w:eastAsia="仿宋" w:hAnsi="仿宋" w:hint="eastAsia"/>
                <w:sz w:val="24"/>
                <w:szCs w:val="24"/>
              </w:rPr>
              <w:t>雨水</w:t>
            </w:r>
          </w:p>
          <w:p>
            <w:pPr>
              <w:jc w:val="center"/>
              <w:rPr>
                <w:rFonts w:ascii="仿宋" w:eastAsia="仿宋" w:hAnsi="仿宋"/>
                <w:sz w:val="24"/>
                <w:szCs w:val="24"/>
              </w:rPr>
            </w:pPr>
            <w:r>
              <w:rPr>
                <w:rFonts w:ascii="仿宋" w:eastAsia="仿宋" w:hAnsi="仿宋" w:hint="eastAsia"/>
                <w:sz w:val="24"/>
                <w:szCs w:val="24"/>
              </w:rPr>
              <w:t>渗漏</w:t>
            </w: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幕墙室内侧有严重渗漏</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97"/>
        </w:trPr>
        <w:tc>
          <w:tcPr>
            <w:tcW w:w="881" w:type="dxa"/>
            <w:vMerge/>
            <w:vAlign w:val="center"/>
          </w:tcPr>
          <w:p/>
        </w:tc>
        <w:tc>
          <w:tcPr>
            <w:tcW w:w="1070" w:type="dxa"/>
            <w:vMerge/>
            <w:tcBorders>
              <w:top w:val="single" w:sz="6" w:space="0" w:color="000000"/>
              <w:left w:val="single" w:sz="6" w:space="0" w:color="000000"/>
              <w:right w:val="single" w:sz="6" w:space="0" w:color="000000"/>
            </w:tcBorders>
            <w:vAlign w:val="center"/>
          </w:tcP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开启窗闭合不紧密、下雨时会连续渗漏</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81" w:type="dxa"/>
            <w:vMerge/>
            <w:vAlign w:val="center"/>
          </w:tcPr>
          <w:p/>
        </w:tc>
        <w:tc>
          <w:tcPr>
            <w:tcW w:w="1070" w:type="dxa"/>
            <w:vMerge/>
            <w:tcBorders>
              <w:top w:val="single" w:sz="6" w:space="0" w:color="000000"/>
              <w:left w:val="single" w:sz="6" w:space="0" w:color="000000"/>
              <w:right w:val="single" w:sz="6" w:space="0" w:color="000000"/>
            </w:tcBorders>
            <w:vAlign w:val="center"/>
          </w:tcP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密封胶有硬化、起泡、脱胶、开裂等</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目测、手试</w:t>
            </w:r>
          </w:p>
        </w:tc>
      </w:tr>
      <w:tr>
        <w:trPr>
          <w:trHeight w:val="369"/>
        </w:trPr>
        <w:tc>
          <w:tcPr>
            <w:tcW w:w="881" w:type="dxa"/>
            <w:vMerge w:val="restart"/>
            <w:vAlign w:val="center"/>
          </w:tcPr>
          <w:p>
            <w:pPr>
              <w:jc w:val="center"/>
              <w:rPr>
                <w:rFonts w:ascii="仿宋" w:eastAsia="仿宋" w:hAnsi="仿宋"/>
                <w:sz w:val="24"/>
                <w:szCs w:val="24"/>
              </w:rPr>
            </w:pPr>
            <w:r>
              <w:rPr>
                <w:rFonts w:ascii="仿宋" w:eastAsia="仿宋" w:hAnsi="仿宋"/>
                <w:sz w:val="24"/>
                <w:szCs w:val="24"/>
              </w:rPr>
              <w:t>6</w:t>
            </w:r>
          </w:p>
        </w:tc>
        <w:tc>
          <w:tcPr>
            <w:tcW w:w="1070" w:type="dxa"/>
            <w:vMerge w:val="restart"/>
            <w:tcBorders>
              <w:top w:val="single" w:sz="6" w:space="0" w:color="000000"/>
              <w:left w:val="single" w:sz="6" w:space="0" w:color="000000"/>
              <w:right w:val="single" w:sz="6" w:space="0" w:color="000000"/>
            </w:tcBorders>
            <w:vAlign w:val="center"/>
          </w:tcPr>
          <w:p>
            <w:pPr>
              <w:jc w:val="center"/>
              <w:rPr>
                <w:rFonts w:ascii="仿宋" w:eastAsia="仿宋" w:hAnsi="仿宋"/>
                <w:sz w:val="24"/>
                <w:szCs w:val="24"/>
              </w:rPr>
            </w:pPr>
            <w:r>
              <w:rPr>
                <w:rFonts w:ascii="仿宋" w:eastAsia="仿宋" w:hAnsi="仿宋" w:hint="eastAsia"/>
                <w:sz w:val="24"/>
                <w:szCs w:val="24"/>
              </w:rPr>
              <w:t>拆改</w:t>
            </w:r>
          </w:p>
          <w:p>
            <w:pPr>
              <w:jc w:val="center"/>
              <w:rPr>
                <w:rFonts w:ascii="仿宋" w:eastAsia="仿宋" w:hAnsi="仿宋"/>
                <w:sz w:val="24"/>
                <w:szCs w:val="24"/>
              </w:rPr>
            </w:pPr>
            <w:r>
              <w:rPr>
                <w:rFonts w:ascii="仿宋" w:eastAsia="仿宋" w:hAnsi="仿宋" w:hint="eastAsia"/>
                <w:sz w:val="24"/>
                <w:szCs w:val="24"/>
              </w:rPr>
              <w:t>部位</w:t>
            </w: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受力构件、连接构造、窗扇被拆卸、更改等现象</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81" w:type="dxa"/>
            <w:vMerge/>
            <w:vAlign w:val="center"/>
          </w:tcPr>
          <w:p/>
        </w:tc>
        <w:tc>
          <w:tcPr>
            <w:tcW w:w="1070" w:type="dxa"/>
            <w:vMerge/>
            <w:tcBorders>
              <w:top w:val="single" w:sz="6" w:space="0" w:color="000000"/>
              <w:left w:val="single" w:sz="6" w:space="0" w:color="000000"/>
              <w:right w:val="single" w:sz="6" w:space="0" w:color="000000"/>
            </w:tcBorders>
            <w:vAlign w:val="center"/>
          </w:tcP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防火封堵和防雷连接被拆卸、更改等现象</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81" w:type="dxa"/>
            <w:vMerge/>
            <w:vAlign w:val="center"/>
          </w:tcPr>
          <w:p/>
        </w:tc>
        <w:tc>
          <w:tcPr>
            <w:tcW w:w="1070" w:type="dxa"/>
            <w:vMerge/>
            <w:tcBorders>
              <w:top w:val="single" w:sz="6" w:space="0" w:color="000000"/>
              <w:left w:val="single" w:sz="6" w:space="0" w:color="000000"/>
              <w:right w:val="single" w:sz="6" w:space="0" w:color="000000"/>
            </w:tcBorders>
            <w:vAlign w:val="center"/>
          </w:tcPr>
          <w:p/>
        </w:tc>
        <w:tc>
          <w:tcPr>
            <w:tcW w:w="5948"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室内吊顶、隔墙等直接固定在幕墙受力构件上</w:t>
            </w:r>
          </w:p>
        </w:tc>
        <w:tc>
          <w:tcPr>
            <w:tcW w:w="177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81" w:type="dxa"/>
            <w:vMerge/>
            <w:tcBorders>
              <w:bottom w:val="single" w:sz="12" w:space="0" w:color="000000"/>
            </w:tcBorders>
            <w:vAlign w:val="center"/>
          </w:tcPr>
          <w:p/>
        </w:tc>
        <w:tc>
          <w:tcPr>
            <w:tcW w:w="1070" w:type="dxa"/>
            <w:vMerge/>
            <w:tcBorders>
              <w:bottom w:val="single" w:sz="12" w:space="0" w:color="000000"/>
            </w:tcBorders>
            <w:vAlign w:val="center"/>
          </w:tcPr>
          <w:p/>
        </w:tc>
        <w:tc>
          <w:tcPr>
            <w:tcW w:w="5948" w:type="dxa"/>
            <w:tcBorders>
              <w:bottom w:val="single" w:sz="12" w:space="0" w:color="000000"/>
            </w:tcBorders>
            <w:vAlign w:val="center"/>
          </w:tcPr>
          <w:p>
            <w:pPr>
              <w:rPr>
                <w:rFonts w:ascii="仿宋" w:eastAsia="仿宋" w:hAnsi="仿宋"/>
                <w:sz w:val="24"/>
                <w:szCs w:val="24"/>
              </w:rPr>
            </w:pPr>
            <w:r>
              <w:rPr>
                <w:rFonts w:ascii="仿宋" w:eastAsia="仿宋" w:hAnsi="仿宋"/>
                <w:sz w:val="24"/>
                <w:szCs w:val="24"/>
              </w:rPr>
              <w:t>4.</w:t>
            </w:r>
            <w:r>
              <w:rPr>
                <w:rFonts w:ascii="仿宋" w:eastAsia="仿宋" w:hAnsi="仿宋" w:hint="eastAsia"/>
                <w:sz w:val="24"/>
                <w:szCs w:val="24"/>
              </w:rPr>
              <w:t>擅自在幕墙上设置霓虹灯、招牌及广告等设施</w:t>
            </w:r>
          </w:p>
        </w:tc>
        <w:tc>
          <w:tcPr>
            <w:tcW w:w="1770" w:type="dxa"/>
            <w:tcBorders>
              <w:bottom w:val="single" w:sz="12" w:space="0" w:color="000000"/>
            </w:tcBorders>
            <w:vAlign w:val="center"/>
          </w:tcPr>
          <w:p>
            <w:pPr>
              <w:jc w:val="center"/>
              <w:rPr>
                <w:rFonts w:ascii="仿宋" w:eastAsia="仿宋" w:hAnsi="仿宋"/>
                <w:sz w:val="24"/>
                <w:szCs w:val="24"/>
              </w:rPr>
            </w:pPr>
            <w:r>
              <w:rPr>
                <w:rFonts w:ascii="仿宋" w:eastAsia="仿宋" w:hAnsi="仿宋" w:hint="eastAsia"/>
                <w:sz w:val="24"/>
                <w:szCs w:val="24"/>
              </w:rPr>
              <w:t>目测</w:t>
            </w:r>
          </w:p>
        </w:tc>
      </w:tr>
    </w:tbl>
    <w:p>
      <w:pPr>
        <w:pStyle w:val="55"/>
        <w:widowControl/>
        <w:tabs>
          <w:tab w:val="left" w:pos="709"/>
        </w:tabs>
        <w:spacing w:line="360" w:lineRule="auto"/>
        <w:ind w:left="709" w:firstLineChars="0" w:firstLine="0"/>
        <w:jc w:val="center"/>
        <w:rPr>
          <w:rFonts w:ascii="仿宋_GB2312" w:eastAsia="仿宋_GB2312" w:hAnsi="Times New Roman"/>
          <w:sz w:val="28"/>
          <w:szCs w:val="28"/>
        </w:rPr>
      </w:pPr>
    </w:p>
    <w:p>
      <w:pPr>
        <w:pStyle w:val="55"/>
        <w:widowControl/>
        <w:tabs>
          <w:tab w:val="left" w:pos="709"/>
        </w:tabs>
        <w:spacing w:line="360" w:lineRule="auto"/>
        <w:ind w:left="709" w:firstLineChars="0" w:firstLine="0"/>
        <w:jc w:val="center"/>
        <w:rPr>
          <w:rFonts w:ascii="仿宋_GB2312" w:eastAsia="仿宋_GB2312" w:hAnsi="Times New Roman"/>
          <w:sz w:val="28"/>
          <w:szCs w:val="28"/>
        </w:rPr>
      </w:pPr>
    </w:p>
    <w:p>
      <w:pPr>
        <w:pStyle w:val="55"/>
        <w:widowControl/>
        <w:tabs>
          <w:tab w:val="left" w:pos="709"/>
        </w:tabs>
        <w:spacing w:line="360" w:lineRule="auto"/>
        <w:ind w:left="709" w:firstLineChars="0" w:firstLine="0"/>
        <w:jc w:val="center"/>
        <w:rPr>
          <w:rFonts w:ascii="仿宋_GB2312" w:eastAsia="仿宋_GB2312" w:hAnsi="Times New Roman"/>
          <w:sz w:val="28"/>
          <w:szCs w:val="28"/>
        </w:rPr>
      </w:pPr>
    </w:p>
    <w:p>
      <w:pPr>
        <w:pStyle w:val="55"/>
        <w:widowControl/>
        <w:tabs>
          <w:tab w:val="left" w:pos="709"/>
        </w:tabs>
        <w:spacing w:line="360" w:lineRule="auto"/>
        <w:ind w:left="709" w:firstLineChars="0" w:firstLine="0"/>
        <w:jc w:val="center"/>
        <w:rPr>
          <w:rFonts w:ascii="仿宋_GB2312" w:eastAsia="仿宋_GB2312" w:hAnsi="Times New Roman"/>
          <w:sz w:val="28"/>
          <w:szCs w:val="28"/>
        </w:rPr>
      </w:pPr>
    </w:p>
    <w:p>
      <w:pPr>
        <w:pStyle w:val="55"/>
        <w:widowControl/>
        <w:tabs>
          <w:tab w:val="left" w:pos="709"/>
        </w:tabs>
        <w:spacing w:line="360" w:lineRule="auto"/>
        <w:ind w:left="709" w:firstLineChars="0" w:firstLine="0"/>
        <w:jc w:val="center"/>
        <w:rPr>
          <w:rFonts w:ascii="仿宋_GB2312" w:eastAsia="仿宋_GB2312" w:hAnsi="Times New Roman"/>
          <w:sz w:val="32"/>
          <w:szCs w:val="32"/>
        </w:rPr>
      </w:pPr>
      <w:r>
        <w:rPr>
          <w:rFonts w:ascii="仿宋" w:eastAsia="仿宋" w:hAnsi="仿宋" w:hint="eastAsia"/>
          <w:sz w:val="32"/>
          <w:szCs w:val="32"/>
        </w:rPr>
        <w:t>表</w:t>
      </w:r>
      <w:r>
        <w:rPr>
          <w:rFonts w:ascii="仿宋" w:eastAsia="仿宋" w:hAnsi="仿宋"/>
          <w:sz w:val="32"/>
          <w:szCs w:val="32"/>
        </w:rPr>
        <w:t>1.2</w:t>
      </w:r>
      <w:r>
        <w:rPr>
          <w:rFonts w:ascii="仿宋_GB2312" w:eastAsia="仿宋_GB2312" w:hAnsi="Times New Roman" w:hint="eastAsia"/>
          <w:sz w:val="32"/>
          <w:szCs w:val="32"/>
        </w:rPr>
        <w:t>石材幕墙安全隐患检查方法</w:t>
      </w:r>
    </w:p>
    <w:tbl>
      <w:tblPr>
        <w:jc w:val="left"/>
        <w:tblInd w:w="0" w:type="dxa"/>
        <w:tblW w:w="957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817"/>
        <w:gridCol w:w="851"/>
        <w:gridCol w:w="6186"/>
        <w:gridCol w:w="1725"/>
      </w:tblGrid>
      <w:tr>
        <w:trPr>
          <w:trHeight w:val="369"/>
        </w:trPr>
        <w:tc>
          <w:tcPr>
            <w:tcW w:w="817" w:type="dxa"/>
            <w:tcBorders>
              <w:top w:val="single" w:sz="12" w:space="0" w:color="000000"/>
            </w:tcBorders>
            <w:vAlign w:val="center"/>
          </w:tcPr>
          <w:p>
            <w:pPr>
              <w:jc w:val="center"/>
              <w:rPr>
                <w:rFonts w:ascii="仿宋" w:eastAsia="仿宋" w:hAnsi="仿宋"/>
                <w:sz w:val="24"/>
                <w:szCs w:val="24"/>
              </w:rPr>
            </w:pPr>
            <w:r>
              <w:rPr>
                <w:rFonts w:ascii="仿宋" w:eastAsia="仿宋" w:hAnsi="仿宋" w:hint="eastAsia"/>
                <w:sz w:val="24"/>
                <w:szCs w:val="24"/>
              </w:rPr>
              <w:t>序号</w:t>
            </w:r>
          </w:p>
        </w:tc>
        <w:tc>
          <w:tcPr>
            <w:tcW w:w="851" w:type="dxa"/>
            <w:tcBorders>
              <w:top w:val="single" w:sz="12" w:space="0" w:color="000000"/>
            </w:tcBorders>
            <w:vAlign w:val="center"/>
          </w:tcPr>
          <w:p>
            <w:pPr>
              <w:jc w:val="center"/>
              <w:rPr>
                <w:rFonts w:ascii="仿宋" w:eastAsia="仿宋" w:hAnsi="仿宋"/>
                <w:sz w:val="24"/>
                <w:szCs w:val="24"/>
              </w:rPr>
            </w:pPr>
            <w:r>
              <w:rPr>
                <w:rFonts w:ascii="仿宋" w:eastAsia="仿宋" w:hAnsi="仿宋" w:hint="eastAsia"/>
                <w:sz w:val="24"/>
                <w:szCs w:val="24"/>
              </w:rPr>
              <w:t>项目</w:t>
            </w:r>
          </w:p>
        </w:tc>
        <w:tc>
          <w:tcPr>
            <w:tcW w:w="6186" w:type="dxa"/>
            <w:tcBorders>
              <w:top w:val="single" w:sz="12" w:space="0" w:color="000000"/>
            </w:tcBorders>
            <w:vAlign w:val="center"/>
          </w:tcPr>
          <w:p>
            <w:pPr>
              <w:jc w:val="center"/>
              <w:rPr>
                <w:rFonts w:ascii="仿宋" w:eastAsia="仿宋" w:hAnsi="仿宋"/>
                <w:sz w:val="24"/>
                <w:szCs w:val="24"/>
              </w:rPr>
            </w:pPr>
            <w:r>
              <w:rPr>
                <w:rFonts w:ascii="仿宋" w:eastAsia="仿宋" w:hAnsi="仿宋" w:hint="eastAsia"/>
                <w:sz w:val="24"/>
                <w:szCs w:val="24"/>
              </w:rPr>
              <w:t>安全隐患</w:t>
            </w:r>
          </w:p>
        </w:tc>
        <w:tc>
          <w:tcPr>
            <w:tcW w:w="1725" w:type="dxa"/>
            <w:tcBorders>
              <w:top w:val="single" w:sz="12" w:space="0" w:color="000000"/>
            </w:tcBorders>
            <w:vAlign w:val="center"/>
          </w:tcPr>
          <w:p>
            <w:pPr>
              <w:jc w:val="center"/>
              <w:rPr>
                <w:rFonts w:ascii="仿宋" w:eastAsia="仿宋" w:hAnsi="仿宋"/>
                <w:sz w:val="24"/>
                <w:szCs w:val="24"/>
              </w:rPr>
            </w:pPr>
            <w:r>
              <w:rPr>
                <w:rFonts w:ascii="仿宋" w:eastAsia="仿宋" w:hAnsi="仿宋" w:hint="eastAsia"/>
                <w:sz w:val="24"/>
                <w:szCs w:val="24"/>
              </w:rPr>
              <w:t>检查方法</w:t>
            </w:r>
          </w:p>
        </w:tc>
      </w:tr>
      <w:tr>
        <w:trPr>
          <w:trHeight w:val="369"/>
        </w:trPr>
        <w:tc>
          <w:tcPr>
            <w:tcW w:w="817" w:type="dxa"/>
            <w:vMerge w:val="restart"/>
            <w:vAlign w:val="center"/>
          </w:tcPr>
          <w:p>
            <w:pPr>
              <w:spacing w:after="120"/>
              <w:jc w:val="center"/>
              <w:rPr>
                <w:rFonts w:ascii="仿宋" w:eastAsia="仿宋" w:hAnsi="仿宋"/>
                <w:sz w:val="24"/>
                <w:szCs w:val="24"/>
              </w:rPr>
            </w:pPr>
            <w:r>
              <w:rPr>
                <w:rFonts w:ascii="仿宋" w:eastAsia="仿宋" w:hAnsi="仿宋"/>
                <w:sz w:val="24"/>
                <w:szCs w:val="24"/>
              </w:rPr>
              <w:t>1</w:t>
            </w:r>
          </w:p>
        </w:tc>
        <w:tc>
          <w:tcPr>
            <w:tcW w:w="851" w:type="dxa"/>
            <w:vMerge w:val="restart"/>
            <w:tcBorders>
              <w:top w:val="single" w:sz="6" w:space="0" w:color="000000"/>
              <w:left w:val="single" w:sz="6" w:space="0" w:color="000000"/>
              <w:right w:val="single" w:sz="6" w:space="0" w:color="000000"/>
            </w:tcBorders>
            <w:vAlign w:val="center"/>
          </w:tcPr>
          <w:p>
            <w:pPr>
              <w:jc w:val="center"/>
              <w:rPr>
                <w:rFonts w:ascii="仿宋" w:eastAsia="仿宋" w:hAnsi="仿宋"/>
                <w:sz w:val="24"/>
                <w:szCs w:val="24"/>
              </w:rPr>
            </w:pPr>
            <w:r>
              <w:rPr>
                <w:rFonts w:ascii="仿宋" w:eastAsia="仿宋" w:hAnsi="仿宋" w:hint="eastAsia"/>
                <w:sz w:val="24"/>
                <w:szCs w:val="24"/>
              </w:rPr>
              <w:t>幕墙</w:t>
            </w:r>
          </w:p>
          <w:p>
            <w:pPr>
              <w:jc w:val="center"/>
              <w:rPr>
                <w:rFonts w:ascii="仿宋" w:eastAsia="仿宋" w:hAnsi="仿宋"/>
                <w:sz w:val="24"/>
                <w:szCs w:val="24"/>
              </w:rPr>
            </w:pPr>
            <w:r>
              <w:rPr>
                <w:rFonts w:ascii="仿宋" w:eastAsia="仿宋" w:hAnsi="仿宋" w:hint="eastAsia"/>
                <w:sz w:val="24"/>
                <w:szCs w:val="24"/>
              </w:rPr>
              <w:t>面板</w:t>
            </w:r>
          </w:p>
        </w:tc>
        <w:tc>
          <w:tcPr>
            <w:tcW w:w="618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面板有破碎、破裂、缺损、坠落</w:t>
            </w:r>
          </w:p>
        </w:tc>
        <w:tc>
          <w:tcPr>
            <w:tcW w:w="1725" w:type="dxa"/>
            <w:vAlign w:val="center"/>
          </w:tcPr>
          <w:p>
            <w:pPr>
              <w:spacing w:after="120"/>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17" w:type="dxa"/>
            <w:vMerge/>
            <w:vAlign w:val="center"/>
          </w:tcPr>
          <w:p/>
        </w:tc>
        <w:tc>
          <w:tcPr>
            <w:tcW w:w="851" w:type="dxa"/>
            <w:vMerge/>
            <w:tcBorders>
              <w:top w:val="single" w:sz="6" w:space="0" w:color="000000"/>
              <w:left w:val="single" w:sz="6" w:space="0" w:color="000000"/>
              <w:right w:val="single" w:sz="6" w:space="0" w:color="000000"/>
            </w:tcBorders>
            <w:vAlign w:val="center"/>
          </w:tcPr>
          <w:p/>
        </w:tc>
        <w:tc>
          <w:tcPr>
            <w:tcW w:w="618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面板有松动、松脱、剥离等</w:t>
            </w:r>
          </w:p>
        </w:tc>
        <w:tc>
          <w:tcPr>
            <w:tcW w:w="1725" w:type="dxa"/>
            <w:vAlign w:val="center"/>
          </w:tcPr>
          <w:p>
            <w:pPr>
              <w:jc w:val="center"/>
              <w:rPr>
                <w:rFonts w:ascii="仿宋" w:eastAsia="仿宋" w:hAnsi="仿宋"/>
                <w:sz w:val="24"/>
                <w:szCs w:val="24"/>
              </w:rPr>
            </w:pPr>
            <w:r>
              <w:rPr>
                <w:rFonts w:ascii="仿宋" w:eastAsia="仿宋" w:hAnsi="仿宋" w:hint="eastAsia"/>
                <w:sz w:val="24"/>
                <w:szCs w:val="24"/>
              </w:rPr>
              <w:t>目测、手试</w:t>
            </w:r>
          </w:p>
        </w:tc>
      </w:tr>
      <w:tr>
        <w:trPr>
          <w:trHeight w:val="369"/>
        </w:trPr>
        <w:tc>
          <w:tcPr>
            <w:tcW w:w="817" w:type="dxa"/>
            <w:vMerge/>
            <w:vAlign w:val="center"/>
          </w:tcPr>
          <w:p/>
        </w:tc>
        <w:tc>
          <w:tcPr>
            <w:tcW w:w="851" w:type="dxa"/>
            <w:vMerge/>
            <w:tcBorders>
              <w:top w:val="single" w:sz="6" w:space="0" w:color="000000"/>
              <w:left w:val="single" w:sz="6" w:space="0" w:color="000000"/>
              <w:right w:val="single" w:sz="6" w:space="0" w:color="000000"/>
            </w:tcBorders>
            <w:vAlign w:val="center"/>
          </w:tcPr>
          <w:p/>
        </w:tc>
        <w:tc>
          <w:tcPr>
            <w:tcW w:w="618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面板之间有不正常挤压、错位</w:t>
            </w:r>
          </w:p>
        </w:tc>
        <w:tc>
          <w:tcPr>
            <w:tcW w:w="1725" w:type="dxa"/>
            <w:vAlign w:val="center"/>
          </w:tcPr>
          <w:p>
            <w:pPr>
              <w:spacing w:after="120"/>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17" w:type="dxa"/>
            <w:vMerge w:val="restart"/>
            <w:vAlign w:val="center"/>
          </w:tcPr>
          <w:p>
            <w:pPr>
              <w:spacing w:after="120"/>
              <w:jc w:val="center"/>
              <w:rPr>
                <w:rFonts w:ascii="仿宋" w:eastAsia="仿宋" w:hAnsi="仿宋"/>
                <w:sz w:val="24"/>
                <w:szCs w:val="24"/>
              </w:rPr>
            </w:pPr>
            <w:r>
              <w:rPr>
                <w:rFonts w:ascii="仿宋" w:eastAsia="仿宋" w:hAnsi="仿宋"/>
                <w:sz w:val="24"/>
                <w:szCs w:val="24"/>
              </w:rPr>
              <w:t>2</w:t>
            </w:r>
          </w:p>
        </w:tc>
        <w:tc>
          <w:tcPr>
            <w:tcW w:w="851" w:type="dxa"/>
            <w:vMerge w:val="restart"/>
            <w:tcBorders>
              <w:top w:val="single" w:sz="6" w:space="0" w:color="000000"/>
              <w:left w:val="single" w:sz="6" w:space="0" w:color="000000"/>
              <w:right w:val="single" w:sz="6" w:space="0" w:color="000000"/>
            </w:tcBorders>
            <w:vAlign w:val="center"/>
          </w:tcPr>
          <w:p>
            <w:pPr>
              <w:jc w:val="center"/>
              <w:rPr>
                <w:rFonts w:ascii="仿宋" w:eastAsia="仿宋" w:hAnsi="仿宋"/>
                <w:sz w:val="24"/>
                <w:szCs w:val="24"/>
              </w:rPr>
            </w:pPr>
            <w:r>
              <w:rPr>
                <w:rFonts w:ascii="仿宋" w:eastAsia="仿宋" w:hAnsi="仿宋" w:hint="eastAsia"/>
                <w:sz w:val="24"/>
                <w:szCs w:val="24"/>
              </w:rPr>
              <w:t>室外装饰构件</w:t>
            </w:r>
          </w:p>
        </w:tc>
        <w:tc>
          <w:tcPr>
            <w:tcW w:w="618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构件有破碎、破裂等</w:t>
            </w:r>
          </w:p>
        </w:tc>
        <w:tc>
          <w:tcPr>
            <w:tcW w:w="1725" w:type="dxa"/>
            <w:vAlign w:val="center"/>
          </w:tcPr>
          <w:p>
            <w:pPr>
              <w:spacing w:after="120"/>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17" w:type="dxa"/>
            <w:vMerge/>
            <w:vAlign w:val="center"/>
          </w:tcPr>
          <w:p/>
        </w:tc>
        <w:tc>
          <w:tcPr>
            <w:tcW w:w="851" w:type="dxa"/>
            <w:vMerge/>
            <w:tcBorders>
              <w:top w:val="single" w:sz="6" w:space="0" w:color="000000"/>
              <w:left w:val="single" w:sz="6" w:space="0" w:color="000000"/>
              <w:right w:val="single" w:sz="6" w:space="0" w:color="000000"/>
            </w:tcBorders>
            <w:vAlign w:val="center"/>
          </w:tcPr>
          <w:p/>
        </w:tc>
        <w:tc>
          <w:tcPr>
            <w:tcW w:w="618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构件有松动、松脱、裂纹等</w:t>
            </w:r>
          </w:p>
        </w:tc>
        <w:tc>
          <w:tcPr>
            <w:tcW w:w="1725" w:type="dxa"/>
            <w:vAlign w:val="center"/>
          </w:tcPr>
          <w:p>
            <w:pPr>
              <w:spacing w:after="120"/>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17" w:type="dxa"/>
            <w:vMerge/>
            <w:vAlign w:val="center"/>
          </w:tcPr>
          <w:p/>
        </w:tc>
        <w:tc>
          <w:tcPr>
            <w:tcW w:w="851" w:type="dxa"/>
            <w:vMerge/>
            <w:tcBorders>
              <w:top w:val="single" w:sz="6" w:space="0" w:color="000000"/>
              <w:left w:val="single" w:sz="6" w:space="0" w:color="000000"/>
              <w:right w:val="single" w:sz="6" w:space="0" w:color="000000"/>
            </w:tcBorders>
            <w:vAlign w:val="center"/>
          </w:tcPr>
          <w:p/>
        </w:tc>
        <w:tc>
          <w:tcPr>
            <w:tcW w:w="618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构件有不正常挤压、错位</w:t>
            </w:r>
          </w:p>
        </w:tc>
        <w:tc>
          <w:tcPr>
            <w:tcW w:w="1725" w:type="dxa"/>
            <w:vAlign w:val="center"/>
          </w:tcPr>
          <w:p>
            <w:pPr>
              <w:spacing w:after="120"/>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17" w:type="dxa"/>
            <w:vMerge w:val="restart"/>
            <w:vAlign w:val="center"/>
          </w:tcPr>
          <w:p>
            <w:pPr>
              <w:spacing w:after="120"/>
              <w:jc w:val="center"/>
              <w:rPr>
                <w:rFonts w:ascii="仿宋" w:eastAsia="仿宋" w:hAnsi="仿宋"/>
                <w:sz w:val="24"/>
                <w:szCs w:val="24"/>
              </w:rPr>
            </w:pPr>
            <w:r>
              <w:rPr>
                <w:rFonts w:ascii="仿宋" w:eastAsia="仿宋" w:hAnsi="仿宋"/>
                <w:sz w:val="24"/>
                <w:szCs w:val="24"/>
              </w:rPr>
              <w:t>3</w:t>
            </w:r>
          </w:p>
        </w:tc>
        <w:tc>
          <w:tcPr>
            <w:tcW w:w="851" w:type="dxa"/>
            <w:vMerge w:val="restart"/>
            <w:tcBorders>
              <w:top w:val="single" w:sz="6" w:space="0" w:color="000000"/>
              <w:left w:val="single" w:sz="6" w:space="0" w:color="000000"/>
              <w:right w:val="single" w:sz="6" w:space="0" w:color="000000"/>
            </w:tcBorders>
            <w:vAlign w:val="center"/>
          </w:tcPr>
          <w:p>
            <w:pPr>
              <w:jc w:val="center"/>
              <w:rPr>
                <w:rFonts w:ascii="仿宋" w:eastAsia="仿宋" w:hAnsi="仿宋"/>
                <w:sz w:val="24"/>
                <w:szCs w:val="24"/>
              </w:rPr>
            </w:pPr>
            <w:r>
              <w:rPr>
                <w:rFonts w:ascii="仿宋" w:eastAsia="仿宋" w:hAnsi="仿宋" w:hint="eastAsia"/>
                <w:sz w:val="24"/>
                <w:szCs w:val="24"/>
              </w:rPr>
              <w:t>受力</w:t>
            </w:r>
          </w:p>
          <w:p>
            <w:pPr>
              <w:jc w:val="center"/>
              <w:rPr>
                <w:rFonts w:ascii="仿宋" w:eastAsia="仿宋" w:hAnsi="仿宋"/>
                <w:sz w:val="24"/>
                <w:szCs w:val="24"/>
              </w:rPr>
            </w:pPr>
            <w:r>
              <w:rPr>
                <w:rFonts w:ascii="仿宋" w:eastAsia="仿宋" w:hAnsi="仿宋" w:hint="eastAsia"/>
                <w:sz w:val="24"/>
                <w:szCs w:val="24"/>
              </w:rPr>
              <w:t>构件</w:t>
            </w:r>
          </w:p>
        </w:tc>
        <w:tc>
          <w:tcPr>
            <w:tcW w:w="618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埋件连接松动、位移、脱落、开焊或严重锈蚀；</w:t>
            </w:r>
          </w:p>
        </w:tc>
        <w:tc>
          <w:tcPr>
            <w:tcW w:w="1725" w:type="dxa"/>
          </w:tcPr>
          <w:p>
            <w:r>
              <w:rPr>
                <w:rFonts w:ascii="仿宋" w:eastAsia="仿宋" w:hAnsi="仿宋" w:hint="eastAsia"/>
                <w:sz w:val="24"/>
                <w:szCs w:val="24"/>
              </w:rPr>
              <w:t>目测或内窥镜</w:t>
            </w:r>
          </w:p>
        </w:tc>
      </w:tr>
      <w:tr>
        <w:trPr>
          <w:trHeight w:val="369"/>
        </w:trPr>
        <w:tc>
          <w:tcPr>
            <w:tcW w:w="817" w:type="dxa"/>
            <w:vMerge/>
            <w:vAlign w:val="center"/>
          </w:tcPr>
          <w:p/>
        </w:tc>
        <w:tc>
          <w:tcPr>
            <w:tcW w:w="851" w:type="dxa"/>
            <w:vMerge/>
            <w:tcBorders>
              <w:top w:val="single" w:sz="6" w:space="0" w:color="000000"/>
              <w:left w:val="single" w:sz="6" w:space="0" w:color="000000"/>
              <w:right w:val="single" w:sz="6" w:space="0" w:color="000000"/>
            </w:tcBorders>
            <w:vAlign w:val="center"/>
          </w:tcPr>
          <w:p/>
        </w:tc>
        <w:tc>
          <w:tcPr>
            <w:tcW w:w="618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与主体结构连接组件有损坏，松动、缺失或严重锈蚀</w:t>
            </w:r>
          </w:p>
        </w:tc>
        <w:tc>
          <w:tcPr>
            <w:tcW w:w="1725" w:type="dxa"/>
          </w:tcPr>
          <w:p>
            <w:r>
              <w:rPr>
                <w:rFonts w:ascii="仿宋" w:eastAsia="仿宋" w:hAnsi="仿宋" w:hint="eastAsia"/>
                <w:sz w:val="24"/>
                <w:szCs w:val="24"/>
              </w:rPr>
              <w:t>目测或内窥镜</w:t>
            </w:r>
          </w:p>
        </w:tc>
      </w:tr>
      <w:tr>
        <w:trPr>
          <w:trHeight w:val="369"/>
        </w:trPr>
        <w:tc>
          <w:tcPr>
            <w:tcW w:w="817" w:type="dxa"/>
            <w:vMerge/>
            <w:vAlign w:val="center"/>
          </w:tcPr>
          <w:p/>
        </w:tc>
        <w:tc>
          <w:tcPr>
            <w:tcW w:w="851" w:type="dxa"/>
            <w:vMerge/>
            <w:tcBorders>
              <w:top w:val="single" w:sz="6" w:space="0" w:color="000000"/>
              <w:left w:val="single" w:sz="6" w:space="0" w:color="000000"/>
              <w:right w:val="single" w:sz="6" w:space="0" w:color="000000"/>
            </w:tcBorders>
            <w:vAlign w:val="center"/>
          </w:tcPr>
          <w:p/>
        </w:tc>
        <w:tc>
          <w:tcPr>
            <w:tcW w:w="618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立柱、横梁连接松动、变形或严重锈蚀</w:t>
            </w:r>
          </w:p>
        </w:tc>
        <w:tc>
          <w:tcPr>
            <w:tcW w:w="1725" w:type="dxa"/>
          </w:tcPr>
          <w:p>
            <w:r>
              <w:rPr>
                <w:rFonts w:ascii="仿宋" w:eastAsia="仿宋" w:hAnsi="仿宋" w:hint="eastAsia"/>
                <w:sz w:val="24"/>
                <w:szCs w:val="24"/>
              </w:rPr>
              <w:t>目测或内窥镜</w:t>
            </w:r>
          </w:p>
        </w:tc>
      </w:tr>
      <w:tr>
        <w:trPr>
          <w:trHeight w:val="369"/>
        </w:trPr>
        <w:tc>
          <w:tcPr>
            <w:tcW w:w="817" w:type="dxa"/>
            <w:vMerge/>
            <w:vAlign w:val="center"/>
          </w:tcPr>
          <w:p/>
        </w:tc>
        <w:tc>
          <w:tcPr>
            <w:tcW w:w="851" w:type="dxa"/>
            <w:vMerge/>
            <w:tcBorders>
              <w:top w:val="single" w:sz="6" w:space="0" w:color="000000"/>
              <w:left w:val="single" w:sz="6" w:space="0" w:color="000000"/>
              <w:right w:val="single" w:sz="6" w:space="0" w:color="000000"/>
            </w:tcBorders>
            <w:vAlign w:val="center"/>
          </w:tcPr>
          <w:p/>
        </w:tc>
        <w:tc>
          <w:tcPr>
            <w:tcW w:w="618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4.</w:t>
            </w:r>
            <w:r>
              <w:rPr>
                <w:rFonts w:ascii="仿宋" w:eastAsia="仿宋" w:hAnsi="仿宋" w:hint="eastAsia"/>
                <w:sz w:val="24"/>
                <w:szCs w:val="24"/>
              </w:rPr>
              <w:t>挂件缺失、变形或严重锈蚀</w:t>
            </w:r>
          </w:p>
        </w:tc>
        <w:tc>
          <w:tcPr>
            <w:tcW w:w="1725" w:type="dxa"/>
          </w:tcPr>
          <w:p>
            <w:r>
              <w:rPr>
                <w:rFonts w:ascii="仿宋" w:eastAsia="仿宋" w:hAnsi="仿宋" w:hint="eastAsia"/>
                <w:sz w:val="24"/>
                <w:szCs w:val="24"/>
              </w:rPr>
              <w:t>目测或内窥镜</w:t>
            </w:r>
          </w:p>
        </w:tc>
      </w:tr>
      <w:tr>
        <w:trPr>
          <w:trHeight w:val="369"/>
        </w:trPr>
        <w:tc>
          <w:tcPr>
            <w:tcW w:w="817" w:type="dxa"/>
            <w:vMerge w:val="restart"/>
            <w:vAlign w:val="center"/>
          </w:tcPr>
          <w:p>
            <w:pPr>
              <w:spacing w:after="120"/>
              <w:jc w:val="center"/>
              <w:rPr>
                <w:rFonts w:ascii="仿宋" w:eastAsia="仿宋" w:hAnsi="仿宋"/>
                <w:sz w:val="24"/>
                <w:szCs w:val="24"/>
              </w:rPr>
            </w:pPr>
            <w:r>
              <w:rPr>
                <w:rFonts w:ascii="仿宋" w:eastAsia="仿宋" w:hAnsi="仿宋"/>
                <w:sz w:val="24"/>
                <w:szCs w:val="24"/>
              </w:rPr>
              <w:t>4</w:t>
            </w:r>
          </w:p>
        </w:tc>
        <w:tc>
          <w:tcPr>
            <w:tcW w:w="851" w:type="dxa"/>
            <w:vMerge w:val="restart"/>
            <w:tcBorders>
              <w:top w:val="single" w:sz="6" w:space="0" w:color="000000"/>
              <w:left w:val="single" w:sz="6" w:space="0" w:color="000000"/>
              <w:right w:val="single" w:sz="6" w:space="0" w:color="000000"/>
            </w:tcBorders>
            <w:vAlign w:val="center"/>
          </w:tcPr>
          <w:p>
            <w:pPr>
              <w:jc w:val="center"/>
              <w:rPr>
                <w:rFonts w:ascii="仿宋" w:eastAsia="仿宋" w:hAnsi="仿宋"/>
                <w:sz w:val="24"/>
                <w:szCs w:val="24"/>
              </w:rPr>
            </w:pPr>
            <w:r>
              <w:rPr>
                <w:rFonts w:ascii="仿宋" w:eastAsia="仿宋" w:hAnsi="仿宋" w:hint="eastAsia"/>
                <w:sz w:val="24"/>
                <w:szCs w:val="24"/>
              </w:rPr>
              <w:t>雨水</w:t>
            </w:r>
          </w:p>
          <w:p>
            <w:pPr>
              <w:jc w:val="center"/>
              <w:rPr>
                <w:rFonts w:ascii="仿宋" w:eastAsia="仿宋" w:hAnsi="仿宋"/>
                <w:sz w:val="24"/>
                <w:szCs w:val="24"/>
              </w:rPr>
            </w:pPr>
            <w:r>
              <w:rPr>
                <w:rFonts w:ascii="仿宋" w:eastAsia="仿宋" w:hAnsi="仿宋" w:hint="eastAsia"/>
                <w:sz w:val="24"/>
                <w:szCs w:val="24"/>
              </w:rPr>
              <w:t>渗漏</w:t>
            </w:r>
          </w:p>
        </w:tc>
        <w:tc>
          <w:tcPr>
            <w:tcW w:w="618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密封胶有硬化、起泡、脱胶、开裂等</w:t>
            </w:r>
          </w:p>
        </w:tc>
        <w:tc>
          <w:tcPr>
            <w:tcW w:w="1725" w:type="dxa"/>
            <w:vAlign w:val="center"/>
          </w:tcPr>
          <w:p>
            <w:pPr>
              <w:jc w:val="center"/>
              <w:rPr>
                <w:rFonts w:ascii="仿宋" w:eastAsia="仿宋" w:hAnsi="仿宋"/>
                <w:sz w:val="24"/>
                <w:szCs w:val="24"/>
              </w:rPr>
            </w:pPr>
            <w:r>
              <w:rPr>
                <w:rFonts w:ascii="仿宋" w:eastAsia="仿宋" w:hAnsi="仿宋" w:hint="eastAsia"/>
                <w:sz w:val="24"/>
                <w:szCs w:val="24"/>
              </w:rPr>
              <w:t>目测、手试</w:t>
            </w:r>
          </w:p>
        </w:tc>
      </w:tr>
      <w:tr>
        <w:trPr>
          <w:trHeight w:val="369"/>
        </w:trPr>
        <w:tc>
          <w:tcPr>
            <w:tcW w:w="817" w:type="dxa"/>
            <w:vMerge/>
            <w:vAlign w:val="center"/>
          </w:tcPr>
          <w:p/>
        </w:tc>
        <w:tc>
          <w:tcPr>
            <w:tcW w:w="851" w:type="dxa"/>
            <w:vMerge/>
            <w:tcBorders>
              <w:top w:val="single" w:sz="6" w:space="0" w:color="000000"/>
              <w:left w:val="single" w:sz="6" w:space="0" w:color="000000"/>
              <w:right w:val="single" w:sz="6" w:space="0" w:color="000000"/>
            </w:tcBorders>
            <w:vAlign w:val="center"/>
          </w:tcPr>
          <w:p/>
        </w:tc>
        <w:tc>
          <w:tcPr>
            <w:tcW w:w="618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开放式幕墙未设镀锌板等防风雨措施</w:t>
            </w:r>
          </w:p>
        </w:tc>
        <w:tc>
          <w:tcPr>
            <w:tcW w:w="1725" w:type="dxa"/>
            <w:vAlign w:val="center"/>
          </w:tcPr>
          <w:p>
            <w:pPr>
              <w:spacing w:after="120"/>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17" w:type="dxa"/>
            <w:vMerge w:val="restart"/>
            <w:vAlign w:val="center"/>
          </w:tcPr>
          <w:p>
            <w:pPr>
              <w:spacing w:after="120"/>
              <w:jc w:val="center"/>
              <w:rPr>
                <w:rFonts w:ascii="仿宋" w:eastAsia="仿宋" w:hAnsi="仿宋"/>
                <w:sz w:val="24"/>
                <w:szCs w:val="24"/>
              </w:rPr>
            </w:pPr>
            <w:r>
              <w:rPr>
                <w:rFonts w:ascii="仿宋" w:eastAsia="仿宋" w:hAnsi="仿宋"/>
                <w:sz w:val="24"/>
                <w:szCs w:val="24"/>
              </w:rPr>
              <w:t>5</w:t>
            </w:r>
          </w:p>
        </w:tc>
        <w:tc>
          <w:tcPr>
            <w:tcW w:w="851" w:type="dxa"/>
            <w:vMerge w:val="restart"/>
            <w:tcBorders>
              <w:top w:val="single" w:sz="6" w:space="0" w:color="000000"/>
              <w:left w:val="single" w:sz="6" w:space="0" w:color="000000"/>
              <w:right w:val="single" w:sz="6" w:space="0" w:color="000000"/>
            </w:tcBorders>
            <w:vAlign w:val="center"/>
          </w:tcPr>
          <w:p>
            <w:pPr>
              <w:jc w:val="center"/>
              <w:rPr>
                <w:rFonts w:ascii="仿宋" w:eastAsia="仿宋" w:hAnsi="仿宋"/>
                <w:sz w:val="24"/>
                <w:szCs w:val="24"/>
              </w:rPr>
            </w:pPr>
            <w:r>
              <w:rPr>
                <w:rFonts w:ascii="仿宋" w:eastAsia="仿宋" w:hAnsi="仿宋" w:hint="eastAsia"/>
                <w:sz w:val="24"/>
                <w:szCs w:val="24"/>
              </w:rPr>
              <w:t>拆改</w:t>
            </w:r>
          </w:p>
          <w:p>
            <w:pPr>
              <w:jc w:val="center"/>
              <w:rPr>
                <w:rFonts w:ascii="仿宋" w:eastAsia="仿宋" w:hAnsi="仿宋"/>
                <w:sz w:val="24"/>
                <w:szCs w:val="24"/>
              </w:rPr>
            </w:pPr>
            <w:r>
              <w:rPr>
                <w:rFonts w:ascii="仿宋" w:eastAsia="仿宋" w:hAnsi="仿宋" w:hint="eastAsia"/>
                <w:sz w:val="24"/>
                <w:szCs w:val="24"/>
              </w:rPr>
              <w:t>部位</w:t>
            </w:r>
          </w:p>
        </w:tc>
        <w:tc>
          <w:tcPr>
            <w:tcW w:w="618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受力构件、连接构造拆卸、更改等现象</w:t>
            </w:r>
          </w:p>
        </w:tc>
        <w:tc>
          <w:tcPr>
            <w:tcW w:w="1725" w:type="dxa"/>
            <w:vAlign w:val="center"/>
          </w:tcPr>
          <w:p>
            <w:pPr>
              <w:spacing w:after="120"/>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17" w:type="dxa"/>
            <w:vMerge/>
            <w:vAlign w:val="center"/>
          </w:tcPr>
          <w:p/>
        </w:tc>
        <w:tc>
          <w:tcPr>
            <w:tcW w:w="851" w:type="dxa"/>
            <w:vMerge/>
            <w:tcBorders>
              <w:top w:val="single" w:sz="6" w:space="0" w:color="000000"/>
              <w:left w:val="single" w:sz="6" w:space="0" w:color="000000"/>
              <w:right w:val="single" w:sz="6" w:space="0" w:color="000000"/>
            </w:tcBorders>
            <w:vAlign w:val="center"/>
          </w:tcPr>
          <w:p/>
        </w:tc>
        <w:tc>
          <w:tcPr>
            <w:tcW w:w="618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防火封堵和防雷连接被拆卸、更改等现象</w:t>
            </w:r>
          </w:p>
        </w:tc>
        <w:tc>
          <w:tcPr>
            <w:tcW w:w="1725" w:type="dxa"/>
            <w:vAlign w:val="center"/>
          </w:tcPr>
          <w:p>
            <w:pPr>
              <w:spacing w:after="120"/>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17" w:type="dxa"/>
            <w:vMerge/>
            <w:tcBorders>
              <w:bottom w:val="single" w:sz="12" w:space="0" w:color="000000"/>
            </w:tcBorders>
            <w:vAlign w:val="center"/>
          </w:tcPr>
          <w:p/>
        </w:tc>
        <w:tc>
          <w:tcPr>
            <w:tcW w:w="851" w:type="dxa"/>
            <w:vMerge/>
            <w:tcBorders>
              <w:bottom w:val="single" w:sz="12" w:space="0" w:color="000000"/>
            </w:tcBorders>
            <w:vAlign w:val="center"/>
          </w:tcPr>
          <w:p/>
        </w:tc>
        <w:tc>
          <w:tcPr>
            <w:tcW w:w="6186" w:type="dxa"/>
            <w:tcBorders>
              <w:bottom w:val="single" w:sz="12"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擅自在幕墙上设置霓虹灯、招牌及广告等设施</w:t>
            </w:r>
          </w:p>
        </w:tc>
        <w:tc>
          <w:tcPr>
            <w:tcW w:w="1725" w:type="dxa"/>
            <w:tcBorders>
              <w:bottom w:val="single" w:sz="12" w:space="0" w:color="000000"/>
            </w:tcBorders>
            <w:vAlign w:val="center"/>
          </w:tcPr>
          <w:p>
            <w:pPr>
              <w:spacing w:after="120"/>
              <w:jc w:val="center"/>
              <w:rPr>
                <w:rFonts w:ascii="仿宋" w:eastAsia="仿宋" w:hAnsi="仿宋"/>
                <w:sz w:val="24"/>
                <w:szCs w:val="24"/>
              </w:rPr>
            </w:pPr>
            <w:r>
              <w:rPr>
                <w:rFonts w:ascii="仿宋" w:eastAsia="仿宋" w:hAnsi="仿宋" w:hint="eastAsia"/>
                <w:sz w:val="24"/>
                <w:szCs w:val="24"/>
              </w:rPr>
              <w:t>目测</w:t>
            </w:r>
          </w:p>
        </w:tc>
      </w:tr>
    </w:tbl>
    <w:p>
      <w:pPr>
        <w:spacing w:line="360" w:lineRule="auto"/>
        <w:rPr>
          <w:rFonts w:ascii="宋体"/>
          <w:b/>
          <w:sz w:val="24"/>
          <w:szCs w:val="24"/>
        </w:rPr>
      </w:pPr>
    </w:p>
    <w:p>
      <w:pPr>
        <w:pStyle w:val="55"/>
        <w:widowControl/>
        <w:tabs>
          <w:tab w:val="left" w:pos="709"/>
        </w:tabs>
        <w:spacing w:line="360" w:lineRule="auto"/>
        <w:ind w:left="709" w:firstLineChars="0" w:firstLine="0"/>
        <w:jc w:val="center"/>
        <w:rPr>
          <w:rFonts w:ascii="仿宋_GB2312" w:eastAsia="仿宋_GB2312" w:hAnsi="Times New Roman"/>
          <w:sz w:val="32"/>
          <w:szCs w:val="32"/>
        </w:rPr>
      </w:pPr>
      <w:r>
        <w:rPr>
          <w:rFonts w:ascii="仿宋_GB2312" w:eastAsia="仿宋_GB2312" w:hAnsi="Times New Roman"/>
          <w:sz w:val="28"/>
          <w:szCs w:val="28"/>
        </w:rPr>
        <w:br w:type="column"/>
      </w:r>
      <w:r>
        <w:rPr>
          <w:rFonts w:ascii="仿宋" w:eastAsia="仿宋" w:hAnsi="仿宋" w:hint="eastAsia"/>
          <w:sz w:val="32"/>
          <w:szCs w:val="32"/>
        </w:rPr>
        <w:t>表</w:t>
      </w:r>
      <w:r>
        <w:rPr>
          <w:rFonts w:ascii="仿宋" w:eastAsia="仿宋" w:hAnsi="仿宋"/>
          <w:sz w:val="32"/>
          <w:szCs w:val="32"/>
        </w:rPr>
        <w:t>1.3</w:t>
      </w:r>
      <w:r>
        <w:rPr>
          <w:rFonts w:ascii="仿宋_GB2312" w:eastAsia="仿宋_GB2312" w:hAnsi="Times New Roman" w:hint="eastAsia"/>
          <w:sz w:val="32"/>
          <w:szCs w:val="32"/>
        </w:rPr>
        <w:t>金属幕墙安全隐患检查方法</w:t>
      </w:r>
    </w:p>
    <w:tbl>
      <w:tblPr>
        <w:jc w:val="left"/>
        <w:tblInd w:w="0" w:type="dxa"/>
        <w:tblW w:w="956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817"/>
        <w:gridCol w:w="851"/>
        <w:gridCol w:w="6066"/>
        <w:gridCol w:w="1830"/>
      </w:tblGrid>
      <w:tr>
        <w:trPr>
          <w:trHeight w:val="369"/>
        </w:trPr>
        <w:tc>
          <w:tcPr>
            <w:tcW w:w="817" w:type="dxa"/>
            <w:tcBorders>
              <w:top w:val="single" w:sz="12" w:space="0" w:color="000000"/>
            </w:tcBorders>
            <w:vAlign w:val="center"/>
          </w:tcPr>
          <w:p>
            <w:pPr>
              <w:jc w:val="center"/>
              <w:rPr>
                <w:rFonts w:ascii="仿宋" w:eastAsia="仿宋" w:hAnsi="仿宋"/>
                <w:sz w:val="24"/>
                <w:szCs w:val="24"/>
              </w:rPr>
            </w:pPr>
            <w:r>
              <w:rPr>
                <w:rFonts w:ascii="仿宋" w:eastAsia="仿宋" w:hAnsi="仿宋" w:hint="eastAsia"/>
                <w:sz w:val="24"/>
                <w:szCs w:val="24"/>
              </w:rPr>
              <w:t>序号</w:t>
            </w:r>
          </w:p>
        </w:tc>
        <w:tc>
          <w:tcPr>
            <w:tcW w:w="851" w:type="dxa"/>
            <w:tcBorders>
              <w:top w:val="single" w:sz="12" w:space="0" w:color="000000"/>
            </w:tcBorders>
            <w:vAlign w:val="center"/>
          </w:tcPr>
          <w:p>
            <w:pPr>
              <w:jc w:val="center"/>
              <w:rPr>
                <w:rFonts w:ascii="仿宋" w:eastAsia="仿宋" w:hAnsi="仿宋"/>
                <w:sz w:val="24"/>
                <w:szCs w:val="24"/>
              </w:rPr>
            </w:pPr>
            <w:r>
              <w:rPr>
                <w:rFonts w:ascii="仿宋" w:eastAsia="仿宋" w:hAnsi="仿宋" w:hint="eastAsia"/>
                <w:sz w:val="24"/>
                <w:szCs w:val="24"/>
              </w:rPr>
              <w:t>项目</w:t>
            </w:r>
          </w:p>
        </w:tc>
        <w:tc>
          <w:tcPr>
            <w:tcW w:w="6066" w:type="dxa"/>
            <w:tcBorders>
              <w:top w:val="single" w:sz="12" w:space="0" w:color="000000"/>
            </w:tcBorders>
            <w:vAlign w:val="center"/>
          </w:tcPr>
          <w:p>
            <w:pPr>
              <w:jc w:val="center"/>
              <w:rPr>
                <w:rFonts w:ascii="仿宋" w:eastAsia="仿宋" w:hAnsi="仿宋"/>
                <w:sz w:val="24"/>
                <w:szCs w:val="24"/>
              </w:rPr>
            </w:pPr>
            <w:r>
              <w:rPr>
                <w:rFonts w:ascii="仿宋" w:eastAsia="仿宋" w:hAnsi="仿宋" w:hint="eastAsia"/>
                <w:sz w:val="24"/>
                <w:szCs w:val="24"/>
              </w:rPr>
              <w:t>安全隐患</w:t>
            </w:r>
          </w:p>
        </w:tc>
        <w:tc>
          <w:tcPr>
            <w:tcW w:w="1830" w:type="dxa"/>
            <w:tcBorders>
              <w:top w:val="single" w:sz="12" w:space="0" w:color="000000"/>
            </w:tcBorders>
            <w:vAlign w:val="center"/>
          </w:tcPr>
          <w:p>
            <w:pPr>
              <w:jc w:val="center"/>
              <w:rPr>
                <w:rFonts w:ascii="仿宋" w:eastAsia="仿宋" w:hAnsi="仿宋"/>
                <w:sz w:val="24"/>
                <w:szCs w:val="24"/>
              </w:rPr>
            </w:pPr>
            <w:r>
              <w:rPr>
                <w:rFonts w:ascii="仿宋" w:eastAsia="仿宋" w:hAnsi="仿宋" w:hint="eastAsia"/>
                <w:sz w:val="24"/>
                <w:szCs w:val="24"/>
              </w:rPr>
              <w:t>检查方法</w:t>
            </w:r>
          </w:p>
        </w:tc>
      </w:tr>
      <w:tr>
        <w:trPr>
          <w:trHeight w:val="369"/>
        </w:trPr>
        <w:tc>
          <w:tcPr>
            <w:tcW w:w="817" w:type="dxa"/>
            <w:vMerge w:val="restart"/>
            <w:vAlign w:val="center"/>
          </w:tcPr>
          <w:p>
            <w:pPr>
              <w:jc w:val="center"/>
              <w:rPr>
                <w:rFonts w:ascii="仿宋" w:eastAsia="仿宋" w:hAnsi="仿宋"/>
                <w:sz w:val="24"/>
                <w:szCs w:val="24"/>
              </w:rPr>
            </w:pPr>
            <w:r>
              <w:rPr>
                <w:rFonts w:ascii="仿宋" w:eastAsia="仿宋" w:hAnsi="仿宋"/>
                <w:sz w:val="24"/>
                <w:szCs w:val="24"/>
              </w:rPr>
              <w:t>1</w:t>
            </w:r>
          </w:p>
        </w:tc>
        <w:tc>
          <w:tcPr>
            <w:tcW w:w="851" w:type="dxa"/>
            <w:vMerge w:val="restart"/>
            <w:tcBorders>
              <w:top w:val="single" w:sz="6" w:space="0" w:color="000000"/>
              <w:left w:val="single" w:sz="6" w:space="0" w:color="000000"/>
              <w:right w:val="single" w:sz="6" w:space="0" w:color="000000"/>
            </w:tcBorders>
            <w:vAlign w:val="center"/>
          </w:tcPr>
          <w:p>
            <w:pPr>
              <w:jc w:val="center"/>
              <w:rPr>
                <w:rFonts w:ascii="仿宋" w:eastAsia="仿宋" w:hAnsi="仿宋"/>
                <w:sz w:val="24"/>
                <w:szCs w:val="24"/>
              </w:rPr>
            </w:pPr>
            <w:r>
              <w:rPr>
                <w:rFonts w:ascii="仿宋" w:eastAsia="仿宋" w:hAnsi="仿宋" w:hint="eastAsia"/>
                <w:sz w:val="24"/>
                <w:szCs w:val="24"/>
              </w:rPr>
              <w:t>幕墙</w:t>
            </w:r>
          </w:p>
          <w:p>
            <w:pPr>
              <w:jc w:val="center"/>
              <w:rPr>
                <w:rFonts w:ascii="仿宋" w:eastAsia="仿宋" w:hAnsi="仿宋"/>
                <w:sz w:val="24"/>
                <w:szCs w:val="24"/>
              </w:rPr>
            </w:pPr>
            <w:r>
              <w:rPr>
                <w:rFonts w:ascii="仿宋" w:eastAsia="仿宋" w:hAnsi="仿宋" w:hint="eastAsia"/>
                <w:sz w:val="24"/>
                <w:szCs w:val="24"/>
              </w:rPr>
              <w:t>面板</w:t>
            </w:r>
          </w:p>
        </w:tc>
        <w:tc>
          <w:tcPr>
            <w:tcW w:w="606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面板有划痕、起鼓、变形</w:t>
            </w:r>
          </w:p>
        </w:tc>
        <w:tc>
          <w:tcPr>
            <w:tcW w:w="183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17" w:type="dxa"/>
            <w:vMerge/>
            <w:vAlign w:val="center"/>
          </w:tcPr>
          <w:p/>
        </w:tc>
        <w:tc>
          <w:tcPr>
            <w:tcW w:w="851" w:type="dxa"/>
            <w:vMerge/>
            <w:tcBorders>
              <w:top w:val="single" w:sz="6" w:space="0" w:color="000000"/>
              <w:left w:val="single" w:sz="6" w:space="0" w:color="000000"/>
              <w:right w:val="single" w:sz="6" w:space="0" w:color="000000"/>
            </w:tcBorders>
            <w:vAlign w:val="center"/>
          </w:tcPr>
          <w:p/>
        </w:tc>
        <w:tc>
          <w:tcPr>
            <w:tcW w:w="606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面板有缺损、坠落</w:t>
            </w:r>
          </w:p>
        </w:tc>
        <w:tc>
          <w:tcPr>
            <w:tcW w:w="183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17" w:type="dxa"/>
            <w:vMerge/>
            <w:vAlign w:val="center"/>
          </w:tcPr>
          <w:p/>
        </w:tc>
        <w:tc>
          <w:tcPr>
            <w:tcW w:w="851" w:type="dxa"/>
            <w:vMerge/>
            <w:tcBorders>
              <w:top w:val="single" w:sz="6" w:space="0" w:color="000000"/>
              <w:left w:val="single" w:sz="6" w:space="0" w:color="000000"/>
              <w:right w:val="single" w:sz="6" w:space="0" w:color="000000"/>
            </w:tcBorders>
            <w:vAlign w:val="center"/>
          </w:tcPr>
          <w:p/>
        </w:tc>
        <w:tc>
          <w:tcPr>
            <w:tcW w:w="606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面板有松动、松脱、剥离等</w:t>
            </w:r>
          </w:p>
        </w:tc>
        <w:tc>
          <w:tcPr>
            <w:tcW w:w="1830" w:type="dxa"/>
            <w:vAlign w:val="center"/>
          </w:tcPr>
          <w:p>
            <w:pPr>
              <w:jc w:val="center"/>
              <w:rPr>
                <w:rFonts w:ascii="仿宋" w:eastAsia="仿宋" w:hAnsi="仿宋"/>
                <w:sz w:val="24"/>
                <w:szCs w:val="24"/>
              </w:rPr>
            </w:pPr>
            <w:r>
              <w:rPr>
                <w:rFonts w:ascii="仿宋" w:eastAsia="仿宋" w:hAnsi="仿宋" w:hint="eastAsia"/>
                <w:sz w:val="24"/>
                <w:szCs w:val="24"/>
              </w:rPr>
              <w:t>目测、手试</w:t>
            </w:r>
          </w:p>
        </w:tc>
      </w:tr>
      <w:tr>
        <w:trPr>
          <w:trHeight w:val="369"/>
        </w:trPr>
        <w:tc>
          <w:tcPr>
            <w:tcW w:w="817" w:type="dxa"/>
            <w:vMerge/>
            <w:vAlign w:val="center"/>
          </w:tcPr>
          <w:p/>
        </w:tc>
        <w:tc>
          <w:tcPr>
            <w:tcW w:w="851" w:type="dxa"/>
            <w:vMerge/>
            <w:tcBorders>
              <w:top w:val="single" w:sz="6" w:space="0" w:color="000000"/>
              <w:left w:val="single" w:sz="6" w:space="0" w:color="000000"/>
              <w:right w:val="single" w:sz="6" w:space="0" w:color="000000"/>
            </w:tcBorders>
            <w:vAlign w:val="center"/>
          </w:tcPr>
          <w:p/>
        </w:tc>
        <w:tc>
          <w:tcPr>
            <w:tcW w:w="606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4.</w:t>
            </w:r>
            <w:r>
              <w:rPr>
                <w:rFonts w:ascii="仿宋" w:eastAsia="仿宋" w:hAnsi="仿宋" w:hint="eastAsia"/>
                <w:sz w:val="24"/>
                <w:szCs w:val="24"/>
              </w:rPr>
              <w:t>面板之间有不正常挤压、错位或变形</w:t>
            </w:r>
          </w:p>
        </w:tc>
        <w:tc>
          <w:tcPr>
            <w:tcW w:w="183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17" w:type="dxa"/>
            <w:vMerge w:val="restart"/>
            <w:vAlign w:val="center"/>
          </w:tcPr>
          <w:p>
            <w:pPr>
              <w:jc w:val="center"/>
              <w:rPr>
                <w:rFonts w:ascii="仿宋" w:eastAsia="仿宋" w:hAnsi="仿宋"/>
                <w:sz w:val="24"/>
                <w:szCs w:val="24"/>
              </w:rPr>
            </w:pPr>
            <w:r>
              <w:rPr>
                <w:rFonts w:ascii="仿宋" w:eastAsia="仿宋" w:hAnsi="仿宋"/>
                <w:sz w:val="24"/>
                <w:szCs w:val="24"/>
              </w:rPr>
              <w:t>2</w:t>
            </w:r>
          </w:p>
        </w:tc>
        <w:tc>
          <w:tcPr>
            <w:tcW w:w="851" w:type="dxa"/>
            <w:vMerge w:val="restart"/>
            <w:tcBorders>
              <w:top w:val="single" w:sz="6" w:space="0" w:color="000000"/>
              <w:left w:val="single" w:sz="6" w:space="0" w:color="000000"/>
              <w:right w:val="single" w:sz="6" w:space="0" w:color="000000"/>
            </w:tcBorders>
            <w:vAlign w:val="center"/>
          </w:tcPr>
          <w:p>
            <w:pPr>
              <w:jc w:val="center"/>
              <w:rPr>
                <w:rFonts w:ascii="仿宋" w:eastAsia="仿宋" w:hAnsi="仿宋"/>
                <w:sz w:val="24"/>
                <w:szCs w:val="24"/>
              </w:rPr>
            </w:pPr>
            <w:r>
              <w:rPr>
                <w:rFonts w:ascii="仿宋" w:eastAsia="仿宋" w:hAnsi="仿宋" w:hint="eastAsia"/>
                <w:sz w:val="24"/>
                <w:szCs w:val="24"/>
              </w:rPr>
              <w:t>室外</w:t>
            </w:r>
          </w:p>
          <w:p>
            <w:pPr>
              <w:jc w:val="center"/>
              <w:rPr>
                <w:rFonts w:ascii="仿宋" w:eastAsia="仿宋" w:hAnsi="仿宋"/>
                <w:sz w:val="24"/>
                <w:szCs w:val="24"/>
              </w:rPr>
            </w:pPr>
            <w:r>
              <w:rPr>
                <w:rFonts w:ascii="仿宋" w:eastAsia="仿宋" w:hAnsi="仿宋" w:hint="eastAsia"/>
                <w:sz w:val="24"/>
                <w:szCs w:val="24"/>
              </w:rPr>
              <w:t>装饰</w:t>
            </w:r>
          </w:p>
          <w:p>
            <w:pPr>
              <w:jc w:val="center"/>
              <w:rPr>
                <w:rFonts w:ascii="仿宋" w:eastAsia="仿宋" w:hAnsi="仿宋"/>
                <w:sz w:val="24"/>
                <w:szCs w:val="24"/>
              </w:rPr>
            </w:pPr>
            <w:r>
              <w:rPr>
                <w:rFonts w:ascii="仿宋" w:eastAsia="仿宋" w:hAnsi="仿宋" w:hint="eastAsia"/>
                <w:sz w:val="24"/>
                <w:szCs w:val="24"/>
              </w:rPr>
              <w:t>构件</w:t>
            </w:r>
          </w:p>
        </w:tc>
        <w:tc>
          <w:tcPr>
            <w:tcW w:w="606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构件有破碎、破裂等</w:t>
            </w:r>
          </w:p>
        </w:tc>
        <w:tc>
          <w:tcPr>
            <w:tcW w:w="183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17" w:type="dxa"/>
            <w:vMerge/>
            <w:vAlign w:val="center"/>
          </w:tcPr>
          <w:p/>
        </w:tc>
        <w:tc>
          <w:tcPr>
            <w:tcW w:w="851" w:type="dxa"/>
            <w:vMerge/>
            <w:tcBorders>
              <w:top w:val="single" w:sz="6" w:space="0" w:color="000000"/>
              <w:left w:val="single" w:sz="6" w:space="0" w:color="000000"/>
              <w:right w:val="single" w:sz="6" w:space="0" w:color="000000"/>
            </w:tcBorders>
            <w:vAlign w:val="center"/>
          </w:tcPr>
          <w:p/>
        </w:tc>
        <w:tc>
          <w:tcPr>
            <w:tcW w:w="606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构件有松动、松脱、裂纹等</w:t>
            </w:r>
          </w:p>
        </w:tc>
        <w:tc>
          <w:tcPr>
            <w:tcW w:w="183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17" w:type="dxa"/>
            <w:vMerge/>
            <w:vAlign w:val="center"/>
          </w:tcPr>
          <w:p/>
        </w:tc>
        <w:tc>
          <w:tcPr>
            <w:tcW w:w="851" w:type="dxa"/>
            <w:vMerge/>
            <w:tcBorders>
              <w:top w:val="single" w:sz="6" w:space="0" w:color="000000"/>
              <w:left w:val="single" w:sz="6" w:space="0" w:color="000000"/>
              <w:right w:val="single" w:sz="6" w:space="0" w:color="000000"/>
            </w:tcBorders>
            <w:vAlign w:val="center"/>
          </w:tcPr>
          <w:p/>
        </w:tc>
        <w:tc>
          <w:tcPr>
            <w:tcW w:w="606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构件有不正常挤压、错位</w:t>
            </w:r>
          </w:p>
        </w:tc>
        <w:tc>
          <w:tcPr>
            <w:tcW w:w="183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17" w:type="dxa"/>
            <w:vMerge w:val="restart"/>
            <w:vAlign w:val="center"/>
          </w:tcPr>
          <w:p>
            <w:pPr>
              <w:jc w:val="center"/>
              <w:rPr>
                <w:rFonts w:ascii="仿宋" w:eastAsia="仿宋" w:hAnsi="仿宋"/>
                <w:sz w:val="24"/>
                <w:szCs w:val="24"/>
              </w:rPr>
            </w:pPr>
            <w:r>
              <w:rPr>
                <w:rFonts w:ascii="仿宋" w:eastAsia="仿宋" w:hAnsi="仿宋"/>
                <w:sz w:val="24"/>
                <w:szCs w:val="24"/>
              </w:rPr>
              <w:t>3</w:t>
            </w:r>
          </w:p>
        </w:tc>
        <w:tc>
          <w:tcPr>
            <w:tcW w:w="851" w:type="dxa"/>
            <w:vMerge w:val="restart"/>
            <w:tcBorders>
              <w:top w:val="single" w:sz="6" w:space="0" w:color="000000"/>
              <w:left w:val="single" w:sz="6" w:space="0" w:color="000000"/>
              <w:right w:val="single" w:sz="6" w:space="0" w:color="000000"/>
            </w:tcBorders>
            <w:vAlign w:val="center"/>
          </w:tcPr>
          <w:p>
            <w:pPr>
              <w:jc w:val="center"/>
              <w:rPr>
                <w:rFonts w:ascii="仿宋" w:eastAsia="仿宋" w:hAnsi="仿宋"/>
                <w:sz w:val="24"/>
                <w:szCs w:val="24"/>
              </w:rPr>
            </w:pPr>
            <w:r>
              <w:rPr>
                <w:rFonts w:ascii="仿宋" w:eastAsia="仿宋" w:hAnsi="仿宋" w:hint="eastAsia"/>
                <w:sz w:val="24"/>
                <w:szCs w:val="24"/>
              </w:rPr>
              <w:t>受力</w:t>
            </w:r>
          </w:p>
          <w:p>
            <w:pPr>
              <w:jc w:val="center"/>
              <w:rPr>
                <w:rFonts w:ascii="仿宋" w:eastAsia="仿宋" w:hAnsi="仿宋"/>
                <w:sz w:val="24"/>
                <w:szCs w:val="24"/>
              </w:rPr>
            </w:pPr>
            <w:r>
              <w:rPr>
                <w:rFonts w:ascii="仿宋" w:eastAsia="仿宋" w:hAnsi="仿宋" w:hint="eastAsia"/>
                <w:sz w:val="24"/>
                <w:szCs w:val="24"/>
              </w:rPr>
              <w:t>构件</w:t>
            </w:r>
          </w:p>
        </w:tc>
        <w:tc>
          <w:tcPr>
            <w:tcW w:w="606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埋件连接松动、位移、脱落、开焊或严重锈蚀；</w:t>
            </w:r>
          </w:p>
        </w:tc>
        <w:tc>
          <w:tcPr>
            <w:tcW w:w="1830" w:type="dxa"/>
          </w:tcPr>
          <w:p>
            <w:r>
              <w:rPr>
                <w:rFonts w:ascii="仿宋" w:eastAsia="仿宋" w:hAnsi="仿宋" w:hint="eastAsia"/>
                <w:sz w:val="24"/>
                <w:szCs w:val="24"/>
              </w:rPr>
              <w:t>目测或内窥镜</w:t>
            </w:r>
          </w:p>
        </w:tc>
      </w:tr>
      <w:tr>
        <w:trPr>
          <w:trHeight w:val="369"/>
        </w:trPr>
        <w:tc>
          <w:tcPr>
            <w:tcW w:w="817" w:type="dxa"/>
            <w:vMerge/>
            <w:vAlign w:val="center"/>
          </w:tcPr>
          <w:p/>
        </w:tc>
        <w:tc>
          <w:tcPr>
            <w:tcW w:w="851" w:type="dxa"/>
            <w:vMerge/>
            <w:tcBorders>
              <w:top w:val="single" w:sz="6" w:space="0" w:color="000000"/>
              <w:left w:val="single" w:sz="6" w:space="0" w:color="000000"/>
              <w:right w:val="single" w:sz="6" w:space="0" w:color="000000"/>
            </w:tcBorders>
            <w:vAlign w:val="center"/>
          </w:tcPr>
          <w:p/>
        </w:tc>
        <w:tc>
          <w:tcPr>
            <w:tcW w:w="606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与主体结构连接组件有损坏，松动、缺失或严重锈蚀</w:t>
            </w:r>
          </w:p>
        </w:tc>
        <w:tc>
          <w:tcPr>
            <w:tcW w:w="1830" w:type="dxa"/>
          </w:tcPr>
          <w:p>
            <w:r>
              <w:rPr>
                <w:rFonts w:ascii="仿宋" w:eastAsia="仿宋" w:hAnsi="仿宋" w:hint="eastAsia"/>
                <w:sz w:val="24"/>
                <w:szCs w:val="24"/>
              </w:rPr>
              <w:t>目测或内窥镜</w:t>
            </w:r>
          </w:p>
        </w:tc>
      </w:tr>
      <w:tr>
        <w:trPr>
          <w:trHeight w:val="369"/>
        </w:trPr>
        <w:tc>
          <w:tcPr>
            <w:tcW w:w="817" w:type="dxa"/>
            <w:vMerge/>
            <w:vAlign w:val="center"/>
          </w:tcPr>
          <w:p/>
        </w:tc>
        <w:tc>
          <w:tcPr>
            <w:tcW w:w="851" w:type="dxa"/>
            <w:vMerge/>
            <w:tcBorders>
              <w:top w:val="single" w:sz="6" w:space="0" w:color="000000"/>
              <w:left w:val="single" w:sz="6" w:space="0" w:color="000000"/>
              <w:right w:val="single" w:sz="6" w:space="0" w:color="000000"/>
            </w:tcBorders>
            <w:vAlign w:val="center"/>
          </w:tcPr>
          <w:p/>
        </w:tc>
        <w:tc>
          <w:tcPr>
            <w:tcW w:w="606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立柱、横梁连接松动、变形或严重锈蚀</w:t>
            </w:r>
          </w:p>
        </w:tc>
        <w:tc>
          <w:tcPr>
            <w:tcW w:w="1830" w:type="dxa"/>
          </w:tcPr>
          <w:p>
            <w:r>
              <w:rPr>
                <w:rFonts w:ascii="仿宋" w:eastAsia="仿宋" w:hAnsi="仿宋" w:hint="eastAsia"/>
                <w:sz w:val="24"/>
                <w:szCs w:val="24"/>
              </w:rPr>
              <w:t>目测或内窥镜</w:t>
            </w:r>
          </w:p>
        </w:tc>
      </w:tr>
      <w:tr>
        <w:trPr>
          <w:trHeight w:val="369"/>
        </w:trPr>
        <w:tc>
          <w:tcPr>
            <w:tcW w:w="817" w:type="dxa"/>
            <w:vMerge w:val="restart"/>
            <w:vAlign w:val="center"/>
          </w:tcPr>
          <w:p>
            <w:pPr>
              <w:jc w:val="center"/>
              <w:rPr>
                <w:rFonts w:ascii="仿宋" w:eastAsia="仿宋" w:hAnsi="仿宋"/>
                <w:sz w:val="24"/>
                <w:szCs w:val="24"/>
              </w:rPr>
            </w:pPr>
            <w:r>
              <w:rPr>
                <w:rFonts w:ascii="仿宋" w:eastAsia="仿宋" w:hAnsi="仿宋"/>
                <w:sz w:val="24"/>
                <w:szCs w:val="24"/>
              </w:rPr>
              <w:t>4</w:t>
            </w:r>
          </w:p>
        </w:tc>
        <w:tc>
          <w:tcPr>
            <w:tcW w:w="851" w:type="dxa"/>
            <w:vMerge w:val="restart"/>
            <w:tcBorders>
              <w:top w:val="single" w:sz="6" w:space="0" w:color="000000"/>
              <w:left w:val="single" w:sz="6" w:space="0" w:color="000000"/>
              <w:right w:val="single" w:sz="6" w:space="0" w:color="000000"/>
            </w:tcBorders>
            <w:vAlign w:val="center"/>
          </w:tcPr>
          <w:p>
            <w:pPr>
              <w:jc w:val="center"/>
              <w:rPr>
                <w:rFonts w:ascii="仿宋" w:eastAsia="仿宋" w:hAnsi="仿宋"/>
                <w:sz w:val="24"/>
                <w:szCs w:val="24"/>
              </w:rPr>
            </w:pPr>
            <w:r>
              <w:rPr>
                <w:rFonts w:ascii="仿宋" w:eastAsia="仿宋" w:hAnsi="仿宋" w:hint="eastAsia"/>
                <w:sz w:val="24"/>
                <w:szCs w:val="24"/>
              </w:rPr>
              <w:t>雨水</w:t>
            </w:r>
          </w:p>
          <w:p>
            <w:pPr>
              <w:jc w:val="center"/>
              <w:rPr>
                <w:rFonts w:ascii="仿宋" w:eastAsia="仿宋" w:hAnsi="仿宋"/>
                <w:sz w:val="24"/>
                <w:szCs w:val="24"/>
              </w:rPr>
            </w:pPr>
            <w:r>
              <w:rPr>
                <w:rFonts w:ascii="仿宋" w:eastAsia="仿宋" w:hAnsi="仿宋" w:hint="eastAsia"/>
                <w:sz w:val="24"/>
                <w:szCs w:val="24"/>
              </w:rPr>
              <w:t>渗漏</w:t>
            </w:r>
          </w:p>
        </w:tc>
        <w:tc>
          <w:tcPr>
            <w:tcW w:w="606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密封胶有硬化、起泡、脱胶、开裂等</w:t>
            </w:r>
          </w:p>
        </w:tc>
        <w:tc>
          <w:tcPr>
            <w:tcW w:w="1830" w:type="dxa"/>
            <w:vAlign w:val="center"/>
          </w:tcPr>
          <w:p>
            <w:pPr>
              <w:jc w:val="center"/>
              <w:rPr>
                <w:rFonts w:ascii="仿宋" w:eastAsia="仿宋" w:hAnsi="仿宋"/>
                <w:sz w:val="24"/>
                <w:szCs w:val="24"/>
              </w:rPr>
            </w:pPr>
            <w:r>
              <w:rPr>
                <w:rFonts w:ascii="仿宋" w:eastAsia="仿宋" w:hAnsi="仿宋" w:hint="eastAsia"/>
                <w:sz w:val="24"/>
                <w:szCs w:val="24"/>
              </w:rPr>
              <w:t>目测、手试</w:t>
            </w:r>
          </w:p>
        </w:tc>
      </w:tr>
      <w:tr>
        <w:trPr>
          <w:trHeight w:val="369"/>
        </w:trPr>
        <w:tc>
          <w:tcPr>
            <w:tcW w:w="817" w:type="dxa"/>
            <w:vMerge/>
            <w:vAlign w:val="center"/>
          </w:tcPr>
          <w:p/>
        </w:tc>
        <w:tc>
          <w:tcPr>
            <w:tcW w:w="851" w:type="dxa"/>
            <w:vMerge/>
            <w:tcBorders>
              <w:top w:val="single" w:sz="6" w:space="0" w:color="000000"/>
              <w:left w:val="single" w:sz="6" w:space="0" w:color="000000"/>
              <w:right w:val="single" w:sz="6" w:space="0" w:color="000000"/>
            </w:tcBorders>
            <w:vAlign w:val="center"/>
          </w:tcPr>
          <w:p/>
        </w:tc>
        <w:tc>
          <w:tcPr>
            <w:tcW w:w="606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开放式幕墙未设镀锌板等防风雨措施</w:t>
            </w:r>
          </w:p>
        </w:tc>
        <w:tc>
          <w:tcPr>
            <w:tcW w:w="183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17" w:type="dxa"/>
            <w:vMerge w:val="restart"/>
            <w:vAlign w:val="center"/>
          </w:tcPr>
          <w:p>
            <w:pPr>
              <w:jc w:val="center"/>
              <w:rPr>
                <w:rFonts w:ascii="仿宋" w:eastAsia="仿宋" w:hAnsi="仿宋"/>
                <w:sz w:val="24"/>
                <w:szCs w:val="24"/>
              </w:rPr>
            </w:pPr>
            <w:r>
              <w:rPr>
                <w:rFonts w:ascii="仿宋" w:eastAsia="仿宋" w:hAnsi="仿宋"/>
                <w:sz w:val="24"/>
                <w:szCs w:val="24"/>
              </w:rPr>
              <w:t>5</w:t>
            </w:r>
          </w:p>
        </w:tc>
        <w:tc>
          <w:tcPr>
            <w:tcW w:w="851" w:type="dxa"/>
            <w:vMerge w:val="restart"/>
            <w:tcBorders>
              <w:top w:val="single" w:sz="6" w:space="0" w:color="000000"/>
              <w:left w:val="single" w:sz="6" w:space="0" w:color="000000"/>
              <w:right w:val="single" w:sz="6" w:space="0" w:color="000000"/>
            </w:tcBorders>
            <w:vAlign w:val="center"/>
          </w:tcPr>
          <w:p>
            <w:pPr>
              <w:jc w:val="center"/>
              <w:rPr>
                <w:rFonts w:ascii="仿宋" w:eastAsia="仿宋" w:hAnsi="仿宋"/>
                <w:sz w:val="24"/>
                <w:szCs w:val="24"/>
              </w:rPr>
            </w:pPr>
            <w:r>
              <w:rPr>
                <w:rFonts w:ascii="仿宋" w:eastAsia="仿宋" w:hAnsi="仿宋" w:hint="eastAsia"/>
                <w:sz w:val="24"/>
                <w:szCs w:val="24"/>
              </w:rPr>
              <w:t>拆改</w:t>
            </w:r>
          </w:p>
          <w:p>
            <w:pPr>
              <w:jc w:val="center"/>
              <w:rPr>
                <w:rFonts w:ascii="仿宋" w:eastAsia="仿宋" w:hAnsi="仿宋"/>
                <w:sz w:val="24"/>
                <w:szCs w:val="24"/>
              </w:rPr>
            </w:pPr>
            <w:r>
              <w:rPr>
                <w:rFonts w:ascii="仿宋" w:eastAsia="仿宋" w:hAnsi="仿宋" w:hint="eastAsia"/>
                <w:sz w:val="24"/>
                <w:szCs w:val="24"/>
              </w:rPr>
              <w:t>部位</w:t>
            </w:r>
          </w:p>
        </w:tc>
        <w:tc>
          <w:tcPr>
            <w:tcW w:w="606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受力构件、连接构造被拆卸、更改等现象</w:t>
            </w:r>
          </w:p>
        </w:tc>
        <w:tc>
          <w:tcPr>
            <w:tcW w:w="183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17" w:type="dxa"/>
            <w:vMerge/>
            <w:vAlign w:val="center"/>
          </w:tcPr>
          <w:p/>
        </w:tc>
        <w:tc>
          <w:tcPr>
            <w:tcW w:w="851" w:type="dxa"/>
            <w:vMerge/>
            <w:tcBorders>
              <w:top w:val="single" w:sz="6" w:space="0" w:color="000000"/>
              <w:left w:val="single" w:sz="6" w:space="0" w:color="000000"/>
              <w:right w:val="single" w:sz="6" w:space="0" w:color="000000"/>
            </w:tcBorders>
            <w:vAlign w:val="center"/>
          </w:tcPr>
          <w:p/>
        </w:tc>
        <w:tc>
          <w:tcPr>
            <w:tcW w:w="6066"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防火封堵和防雷连接被拆卸、更改等现象</w:t>
            </w:r>
          </w:p>
        </w:tc>
        <w:tc>
          <w:tcPr>
            <w:tcW w:w="183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17" w:type="dxa"/>
            <w:vMerge/>
            <w:tcBorders>
              <w:bottom w:val="single" w:sz="12" w:space="0" w:color="000000"/>
            </w:tcBorders>
            <w:vAlign w:val="center"/>
          </w:tcPr>
          <w:p/>
        </w:tc>
        <w:tc>
          <w:tcPr>
            <w:tcW w:w="851" w:type="dxa"/>
            <w:vMerge/>
            <w:tcBorders>
              <w:bottom w:val="single" w:sz="12" w:space="0" w:color="000000"/>
            </w:tcBorders>
            <w:vAlign w:val="center"/>
          </w:tcPr>
          <w:p/>
        </w:tc>
        <w:tc>
          <w:tcPr>
            <w:tcW w:w="6066" w:type="dxa"/>
            <w:tcBorders>
              <w:bottom w:val="single" w:sz="12"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擅自在幕墙上设置霓虹灯、招牌及广告等设施</w:t>
            </w:r>
          </w:p>
        </w:tc>
        <w:tc>
          <w:tcPr>
            <w:tcW w:w="1830" w:type="dxa"/>
            <w:tcBorders>
              <w:bottom w:val="single" w:sz="12" w:space="0" w:color="000000"/>
            </w:tcBorders>
            <w:vAlign w:val="center"/>
          </w:tcPr>
          <w:p>
            <w:pPr>
              <w:jc w:val="center"/>
              <w:rPr>
                <w:rFonts w:ascii="仿宋" w:eastAsia="仿宋" w:hAnsi="仿宋"/>
                <w:sz w:val="24"/>
                <w:szCs w:val="24"/>
              </w:rPr>
            </w:pPr>
            <w:r>
              <w:rPr>
                <w:rFonts w:ascii="仿宋" w:eastAsia="仿宋" w:hAnsi="仿宋" w:hint="eastAsia"/>
                <w:sz w:val="24"/>
                <w:szCs w:val="24"/>
              </w:rPr>
              <w:t>目测</w:t>
            </w:r>
          </w:p>
        </w:tc>
      </w:tr>
    </w:tbl>
    <w:p>
      <w:pPr>
        <w:spacing w:line="360" w:lineRule="auto"/>
        <w:rPr>
          <w:rFonts w:ascii="宋体"/>
          <w:b/>
          <w:sz w:val="24"/>
          <w:szCs w:val="24"/>
        </w:rPr>
      </w:pPr>
    </w:p>
    <w:p>
      <w:pPr>
        <w:pStyle w:val="55"/>
        <w:widowControl/>
        <w:tabs>
          <w:tab w:val="left" w:pos="709"/>
        </w:tabs>
        <w:spacing w:line="360" w:lineRule="auto"/>
        <w:ind w:left="709" w:firstLineChars="0" w:firstLine="0"/>
        <w:jc w:val="center"/>
        <w:rPr>
          <w:rFonts w:ascii="仿宋_GB2312" w:eastAsia="仿宋_GB2312" w:hAnsi="Times New Roman"/>
          <w:sz w:val="28"/>
          <w:szCs w:val="28"/>
        </w:rPr>
      </w:pPr>
      <w:r>
        <w:rPr>
          <w:rFonts w:ascii="仿宋_GB2312" w:eastAsia="仿宋_GB2312" w:hAnsi="Times New Roman"/>
          <w:sz w:val="28"/>
          <w:szCs w:val="28"/>
        </w:rPr>
        <w:br w:type="column"/>
      </w:r>
      <w:r>
        <w:rPr>
          <w:rFonts w:ascii="仿宋" w:eastAsia="仿宋" w:hAnsi="仿宋" w:hint="eastAsia"/>
          <w:sz w:val="32"/>
          <w:szCs w:val="32"/>
        </w:rPr>
        <w:t>表</w:t>
      </w:r>
      <w:r>
        <w:rPr>
          <w:rFonts w:ascii="仿宋" w:eastAsia="仿宋" w:hAnsi="仿宋"/>
          <w:sz w:val="32"/>
          <w:szCs w:val="32"/>
        </w:rPr>
        <w:t>1.4</w:t>
      </w:r>
      <w:r>
        <w:rPr>
          <w:rFonts w:ascii="仿宋_GB2312" w:eastAsia="仿宋_GB2312" w:hAnsi="Times New Roman" w:hint="eastAsia"/>
          <w:sz w:val="28"/>
          <w:szCs w:val="28"/>
        </w:rPr>
        <w:t>人造板材幕墙安全隐患检查方法</w:t>
      </w:r>
    </w:p>
    <w:tbl>
      <w:tblPr>
        <w:jc w:val="left"/>
        <w:tblInd w:w="0" w:type="dxa"/>
        <w:tblW w:w="9699"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826"/>
        <w:gridCol w:w="992"/>
        <w:gridCol w:w="6081"/>
        <w:gridCol w:w="1800"/>
      </w:tblGrid>
      <w:tr>
        <w:trPr>
          <w:trHeight w:val="369"/>
        </w:trPr>
        <w:tc>
          <w:tcPr>
            <w:tcW w:w="826" w:type="dxa"/>
            <w:tcBorders>
              <w:top w:val="single" w:sz="12" w:space="0" w:color="000000"/>
            </w:tcBorders>
            <w:vAlign w:val="center"/>
          </w:tcPr>
          <w:p>
            <w:pPr>
              <w:jc w:val="center"/>
              <w:rPr>
                <w:rFonts w:ascii="仿宋" w:eastAsia="仿宋" w:hAnsi="仿宋"/>
                <w:sz w:val="24"/>
                <w:szCs w:val="24"/>
              </w:rPr>
            </w:pPr>
            <w:r>
              <w:rPr>
                <w:rFonts w:ascii="仿宋" w:eastAsia="仿宋" w:hAnsi="仿宋" w:hint="eastAsia"/>
                <w:sz w:val="24"/>
                <w:szCs w:val="24"/>
              </w:rPr>
              <w:t>序号</w:t>
            </w:r>
          </w:p>
        </w:tc>
        <w:tc>
          <w:tcPr>
            <w:tcW w:w="992" w:type="dxa"/>
            <w:tcBorders>
              <w:top w:val="single" w:sz="12" w:space="0" w:color="000000"/>
            </w:tcBorders>
            <w:vAlign w:val="center"/>
          </w:tcPr>
          <w:p>
            <w:pPr>
              <w:jc w:val="center"/>
              <w:rPr>
                <w:rFonts w:ascii="仿宋" w:eastAsia="仿宋" w:hAnsi="仿宋"/>
                <w:sz w:val="24"/>
                <w:szCs w:val="24"/>
              </w:rPr>
            </w:pPr>
            <w:r>
              <w:rPr>
                <w:rFonts w:ascii="仿宋" w:eastAsia="仿宋" w:hAnsi="仿宋" w:hint="eastAsia"/>
                <w:sz w:val="24"/>
                <w:szCs w:val="24"/>
              </w:rPr>
              <w:t>项目</w:t>
            </w:r>
          </w:p>
        </w:tc>
        <w:tc>
          <w:tcPr>
            <w:tcW w:w="6081" w:type="dxa"/>
            <w:tcBorders>
              <w:top w:val="single" w:sz="12" w:space="0" w:color="000000"/>
            </w:tcBorders>
            <w:vAlign w:val="center"/>
          </w:tcPr>
          <w:p>
            <w:pPr>
              <w:jc w:val="center"/>
              <w:rPr>
                <w:rFonts w:ascii="仿宋" w:eastAsia="仿宋" w:hAnsi="仿宋"/>
                <w:sz w:val="24"/>
                <w:szCs w:val="24"/>
              </w:rPr>
            </w:pPr>
            <w:r>
              <w:rPr>
                <w:rFonts w:ascii="仿宋" w:eastAsia="仿宋" w:hAnsi="仿宋" w:hint="eastAsia"/>
                <w:sz w:val="24"/>
                <w:szCs w:val="24"/>
              </w:rPr>
              <w:t>安全隐患</w:t>
            </w:r>
          </w:p>
        </w:tc>
        <w:tc>
          <w:tcPr>
            <w:tcW w:w="1800" w:type="dxa"/>
            <w:tcBorders>
              <w:top w:val="single" w:sz="12" w:space="0" w:color="000000"/>
            </w:tcBorders>
            <w:vAlign w:val="center"/>
          </w:tcPr>
          <w:p>
            <w:pPr>
              <w:jc w:val="center"/>
              <w:rPr>
                <w:rFonts w:ascii="仿宋" w:eastAsia="仿宋" w:hAnsi="仿宋"/>
                <w:sz w:val="24"/>
                <w:szCs w:val="24"/>
              </w:rPr>
            </w:pPr>
            <w:r>
              <w:rPr>
                <w:rFonts w:ascii="仿宋" w:eastAsia="仿宋" w:hAnsi="仿宋" w:hint="eastAsia"/>
                <w:sz w:val="24"/>
                <w:szCs w:val="24"/>
              </w:rPr>
              <w:t>检查方法</w:t>
            </w:r>
          </w:p>
        </w:tc>
      </w:tr>
      <w:tr>
        <w:trPr>
          <w:trHeight w:val="369"/>
        </w:trPr>
        <w:tc>
          <w:tcPr>
            <w:tcW w:w="826" w:type="dxa"/>
            <w:vMerge w:val="restart"/>
            <w:vAlign w:val="center"/>
          </w:tcPr>
          <w:p>
            <w:pPr>
              <w:jc w:val="center"/>
              <w:rPr>
                <w:rFonts w:ascii="仿宋" w:eastAsia="仿宋" w:hAnsi="仿宋"/>
                <w:sz w:val="24"/>
                <w:szCs w:val="24"/>
              </w:rPr>
            </w:pPr>
            <w:r>
              <w:rPr>
                <w:rFonts w:ascii="仿宋" w:eastAsia="仿宋" w:hAnsi="仿宋"/>
                <w:sz w:val="24"/>
                <w:szCs w:val="24"/>
              </w:rPr>
              <w:t>1</w:t>
            </w:r>
          </w:p>
        </w:tc>
        <w:tc>
          <w:tcPr>
            <w:tcW w:w="992" w:type="dxa"/>
            <w:vMerge w:val="restart"/>
            <w:tcBorders>
              <w:top w:val="single" w:sz="6" w:space="0" w:color="000000"/>
              <w:left w:val="single" w:sz="6" w:space="0" w:color="000000"/>
              <w:right w:val="single" w:sz="6" w:space="0" w:color="000000"/>
            </w:tcBorders>
            <w:vAlign w:val="center"/>
          </w:tcPr>
          <w:p>
            <w:pPr>
              <w:jc w:val="center"/>
              <w:rPr>
                <w:rFonts w:ascii="仿宋" w:eastAsia="仿宋" w:hAnsi="仿宋"/>
                <w:sz w:val="24"/>
                <w:szCs w:val="24"/>
              </w:rPr>
            </w:pPr>
            <w:r>
              <w:rPr>
                <w:rFonts w:ascii="仿宋" w:eastAsia="仿宋" w:hAnsi="仿宋" w:hint="eastAsia"/>
                <w:sz w:val="24"/>
                <w:szCs w:val="24"/>
              </w:rPr>
              <w:t>幕墙</w:t>
            </w:r>
          </w:p>
          <w:p>
            <w:pPr>
              <w:jc w:val="center"/>
              <w:rPr>
                <w:rFonts w:ascii="仿宋" w:eastAsia="仿宋" w:hAnsi="仿宋"/>
                <w:sz w:val="24"/>
                <w:szCs w:val="24"/>
              </w:rPr>
            </w:pPr>
            <w:r>
              <w:rPr>
                <w:rFonts w:ascii="仿宋" w:eastAsia="仿宋" w:hAnsi="仿宋" w:hint="eastAsia"/>
                <w:sz w:val="24"/>
                <w:szCs w:val="24"/>
              </w:rPr>
              <w:t>面板</w:t>
            </w:r>
          </w:p>
        </w:tc>
        <w:tc>
          <w:tcPr>
            <w:tcW w:w="6081"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面板有破碎、破裂、缺损、坠落</w:t>
            </w:r>
          </w:p>
        </w:tc>
        <w:tc>
          <w:tcPr>
            <w:tcW w:w="180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26" w:type="dxa"/>
            <w:vMerge/>
            <w:vAlign w:val="center"/>
          </w:tcPr>
          <w:p/>
        </w:tc>
        <w:tc>
          <w:tcPr>
            <w:tcW w:w="992" w:type="dxa"/>
            <w:vMerge/>
            <w:tcBorders>
              <w:top w:val="single" w:sz="6" w:space="0" w:color="000000"/>
              <w:left w:val="single" w:sz="6" w:space="0" w:color="000000"/>
              <w:right w:val="single" w:sz="6" w:space="0" w:color="000000"/>
            </w:tcBorders>
            <w:vAlign w:val="center"/>
          </w:tcPr>
          <w:p/>
        </w:tc>
        <w:tc>
          <w:tcPr>
            <w:tcW w:w="6081"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面板之间有不正常挤压、错位</w:t>
            </w:r>
          </w:p>
        </w:tc>
        <w:tc>
          <w:tcPr>
            <w:tcW w:w="180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26" w:type="dxa"/>
            <w:vMerge/>
            <w:vAlign w:val="center"/>
          </w:tcPr>
          <w:p/>
        </w:tc>
        <w:tc>
          <w:tcPr>
            <w:tcW w:w="992" w:type="dxa"/>
            <w:vMerge/>
            <w:tcBorders>
              <w:top w:val="single" w:sz="6" w:space="0" w:color="000000"/>
              <w:left w:val="single" w:sz="6" w:space="0" w:color="000000"/>
              <w:right w:val="single" w:sz="6" w:space="0" w:color="000000"/>
            </w:tcBorders>
            <w:vAlign w:val="center"/>
          </w:tcPr>
          <w:p/>
        </w:tc>
        <w:tc>
          <w:tcPr>
            <w:tcW w:w="6081"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面板有松动、松脱</w:t>
            </w:r>
          </w:p>
        </w:tc>
        <w:tc>
          <w:tcPr>
            <w:tcW w:w="1800" w:type="dxa"/>
            <w:vAlign w:val="center"/>
          </w:tcPr>
          <w:p>
            <w:pPr>
              <w:jc w:val="center"/>
              <w:rPr>
                <w:rFonts w:ascii="仿宋" w:eastAsia="仿宋" w:hAnsi="仿宋"/>
                <w:sz w:val="24"/>
                <w:szCs w:val="24"/>
              </w:rPr>
            </w:pPr>
            <w:r>
              <w:rPr>
                <w:rFonts w:ascii="仿宋" w:eastAsia="仿宋" w:hAnsi="仿宋" w:hint="eastAsia"/>
                <w:sz w:val="24"/>
                <w:szCs w:val="24"/>
              </w:rPr>
              <w:t>目测、手试</w:t>
            </w:r>
          </w:p>
        </w:tc>
      </w:tr>
      <w:tr>
        <w:trPr>
          <w:trHeight w:val="369"/>
        </w:trPr>
        <w:tc>
          <w:tcPr>
            <w:tcW w:w="826" w:type="dxa"/>
            <w:vMerge w:val="restart"/>
            <w:vAlign w:val="center"/>
          </w:tcPr>
          <w:p>
            <w:pPr>
              <w:jc w:val="center"/>
              <w:rPr>
                <w:rFonts w:ascii="仿宋" w:eastAsia="仿宋" w:hAnsi="仿宋"/>
                <w:sz w:val="24"/>
                <w:szCs w:val="24"/>
              </w:rPr>
            </w:pPr>
            <w:r>
              <w:rPr>
                <w:rFonts w:ascii="仿宋" w:eastAsia="仿宋" w:hAnsi="仿宋"/>
                <w:sz w:val="24"/>
                <w:szCs w:val="24"/>
              </w:rPr>
              <w:t>2</w:t>
            </w:r>
          </w:p>
        </w:tc>
        <w:tc>
          <w:tcPr>
            <w:tcW w:w="992" w:type="dxa"/>
            <w:vMerge w:val="restart"/>
            <w:tcBorders>
              <w:top w:val="single" w:sz="6" w:space="0" w:color="000000"/>
              <w:left w:val="single" w:sz="6" w:space="0" w:color="000000"/>
              <w:right w:val="single" w:sz="6" w:space="0" w:color="000000"/>
            </w:tcBorders>
            <w:vAlign w:val="center"/>
          </w:tcPr>
          <w:p>
            <w:pPr>
              <w:jc w:val="center"/>
              <w:rPr>
                <w:rFonts w:ascii="仿宋" w:eastAsia="仿宋" w:hAnsi="仿宋"/>
                <w:sz w:val="24"/>
                <w:szCs w:val="24"/>
              </w:rPr>
            </w:pPr>
            <w:r>
              <w:rPr>
                <w:rFonts w:ascii="仿宋" w:eastAsia="仿宋" w:hAnsi="仿宋" w:hint="eastAsia"/>
                <w:sz w:val="24"/>
                <w:szCs w:val="24"/>
              </w:rPr>
              <w:t>室外</w:t>
            </w:r>
          </w:p>
          <w:p>
            <w:pPr>
              <w:jc w:val="center"/>
              <w:rPr>
                <w:rFonts w:ascii="仿宋" w:eastAsia="仿宋" w:hAnsi="仿宋"/>
                <w:sz w:val="24"/>
                <w:szCs w:val="24"/>
              </w:rPr>
            </w:pPr>
            <w:r>
              <w:rPr>
                <w:rFonts w:ascii="仿宋" w:eastAsia="仿宋" w:hAnsi="仿宋" w:hint="eastAsia"/>
                <w:sz w:val="24"/>
                <w:szCs w:val="24"/>
              </w:rPr>
              <w:t>装饰</w:t>
            </w:r>
          </w:p>
          <w:p>
            <w:pPr>
              <w:jc w:val="center"/>
              <w:rPr>
                <w:rFonts w:ascii="仿宋" w:eastAsia="仿宋" w:hAnsi="仿宋"/>
                <w:sz w:val="24"/>
                <w:szCs w:val="24"/>
              </w:rPr>
            </w:pPr>
            <w:r>
              <w:rPr>
                <w:rFonts w:ascii="仿宋" w:eastAsia="仿宋" w:hAnsi="仿宋" w:hint="eastAsia"/>
                <w:sz w:val="24"/>
                <w:szCs w:val="24"/>
              </w:rPr>
              <w:t>构件</w:t>
            </w:r>
          </w:p>
        </w:tc>
        <w:tc>
          <w:tcPr>
            <w:tcW w:w="6081"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构件有破碎、破裂等</w:t>
            </w:r>
          </w:p>
        </w:tc>
        <w:tc>
          <w:tcPr>
            <w:tcW w:w="180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26" w:type="dxa"/>
            <w:vMerge/>
            <w:vAlign w:val="center"/>
          </w:tcPr>
          <w:p/>
        </w:tc>
        <w:tc>
          <w:tcPr>
            <w:tcW w:w="992" w:type="dxa"/>
            <w:vMerge/>
            <w:tcBorders>
              <w:top w:val="single" w:sz="6" w:space="0" w:color="000000"/>
              <w:left w:val="single" w:sz="6" w:space="0" w:color="000000"/>
              <w:right w:val="single" w:sz="6" w:space="0" w:color="000000"/>
            </w:tcBorders>
            <w:vAlign w:val="center"/>
          </w:tcPr>
          <w:p/>
        </w:tc>
        <w:tc>
          <w:tcPr>
            <w:tcW w:w="6081"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构件有松动、松脱、裂纹等</w:t>
            </w:r>
          </w:p>
        </w:tc>
        <w:tc>
          <w:tcPr>
            <w:tcW w:w="180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26" w:type="dxa"/>
            <w:vMerge/>
            <w:vAlign w:val="center"/>
          </w:tcPr>
          <w:p/>
        </w:tc>
        <w:tc>
          <w:tcPr>
            <w:tcW w:w="992" w:type="dxa"/>
            <w:vMerge/>
            <w:tcBorders>
              <w:top w:val="single" w:sz="6" w:space="0" w:color="000000"/>
              <w:left w:val="single" w:sz="6" w:space="0" w:color="000000"/>
              <w:right w:val="single" w:sz="6" w:space="0" w:color="000000"/>
            </w:tcBorders>
            <w:vAlign w:val="center"/>
          </w:tcPr>
          <w:p/>
        </w:tc>
        <w:tc>
          <w:tcPr>
            <w:tcW w:w="6081"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构件有不正常挤压、错位或变形</w:t>
            </w:r>
          </w:p>
        </w:tc>
        <w:tc>
          <w:tcPr>
            <w:tcW w:w="180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26" w:type="dxa"/>
            <w:vMerge w:val="restart"/>
            <w:vAlign w:val="center"/>
          </w:tcPr>
          <w:p>
            <w:pPr>
              <w:jc w:val="center"/>
              <w:rPr>
                <w:rFonts w:ascii="仿宋" w:eastAsia="仿宋" w:hAnsi="仿宋"/>
                <w:sz w:val="24"/>
                <w:szCs w:val="24"/>
              </w:rPr>
            </w:pPr>
            <w:r>
              <w:rPr>
                <w:rFonts w:ascii="仿宋" w:eastAsia="仿宋" w:hAnsi="仿宋"/>
                <w:sz w:val="24"/>
                <w:szCs w:val="24"/>
              </w:rPr>
              <w:t>3</w:t>
            </w:r>
          </w:p>
        </w:tc>
        <w:tc>
          <w:tcPr>
            <w:tcW w:w="992" w:type="dxa"/>
            <w:vMerge w:val="restart"/>
            <w:tcBorders>
              <w:top w:val="single" w:sz="6" w:space="0" w:color="000000"/>
              <w:left w:val="single" w:sz="6" w:space="0" w:color="000000"/>
              <w:right w:val="single" w:sz="6" w:space="0" w:color="000000"/>
            </w:tcBorders>
            <w:vAlign w:val="center"/>
          </w:tcPr>
          <w:p>
            <w:pPr>
              <w:jc w:val="center"/>
              <w:rPr>
                <w:rFonts w:ascii="仿宋" w:eastAsia="仿宋" w:hAnsi="仿宋"/>
                <w:sz w:val="24"/>
                <w:szCs w:val="24"/>
              </w:rPr>
            </w:pPr>
            <w:r>
              <w:rPr>
                <w:rFonts w:ascii="仿宋" w:eastAsia="仿宋" w:hAnsi="仿宋" w:hint="eastAsia"/>
                <w:sz w:val="24"/>
                <w:szCs w:val="24"/>
              </w:rPr>
              <w:t>受力</w:t>
            </w:r>
          </w:p>
          <w:p>
            <w:pPr>
              <w:jc w:val="center"/>
              <w:rPr>
                <w:rFonts w:ascii="仿宋" w:eastAsia="仿宋" w:hAnsi="仿宋"/>
                <w:sz w:val="24"/>
                <w:szCs w:val="24"/>
              </w:rPr>
            </w:pPr>
            <w:r>
              <w:rPr>
                <w:rFonts w:ascii="仿宋" w:eastAsia="仿宋" w:hAnsi="仿宋" w:hint="eastAsia"/>
                <w:sz w:val="24"/>
                <w:szCs w:val="24"/>
              </w:rPr>
              <w:t>构件</w:t>
            </w:r>
          </w:p>
        </w:tc>
        <w:tc>
          <w:tcPr>
            <w:tcW w:w="6081"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埋件连接松动、位移、脱落、开焊或严重锈蚀</w:t>
            </w:r>
          </w:p>
        </w:tc>
        <w:tc>
          <w:tcPr>
            <w:tcW w:w="1800" w:type="dxa"/>
          </w:tcPr>
          <w:p>
            <w:r>
              <w:rPr>
                <w:rFonts w:ascii="仿宋" w:eastAsia="仿宋" w:hAnsi="仿宋" w:hint="eastAsia"/>
                <w:sz w:val="24"/>
                <w:szCs w:val="24"/>
              </w:rPr>
              <w:t>目测或内窥镜</w:t>
            </w:r>
          </w:p>
        </w:tc>
      </w:tr>
      <w:tr>
        <w:trPr>
          <w:trHeight w:val="369"/>
        </w:trPr>
        <w:tc>
          <w:tcPr>
            <w:tcW w:w="826" w:type="dxa"/>
            <w:vMerge/>
            <w:vAlign w:val="center"/>
          </w:tcPr>
          <w:p/>
        </w:tc>
        <w:tc>
          <w:tcPr>
            <w:tcW w:w="992" w:type="dxa"/>
            <w:vMerge/>
            <w:tcBorders>
              <w:top w:val="single" w:sz="6" w:space="0" w:color="000000"/>
              <w:left w:val="single" w:sz="6" w:space="0" w:color="000000"/>
              <w:right w:val="single" w:sz="6" w:space="0" w:color="000000"/>
            </w:tcBorders>
            <w:vAlign w:val="center"/>
          </w:tcPr>
          <w:p/>
        </w:tc>
        <w:tc>
          <w:tcPr>
            <w:tcW w:w="6081"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与主体结构连接组件有损坏，松动、缺失或严重锈蚀</w:t>
            </w:r>
          </w:p>
        </w:tc>
        <w:tc>
          <w:tcPr>
            <w:tcW w:w="1800" w:type="dxa"/>
          </w:tcPr>
          <w:p>
            <w:r>
              <w:rPr>
                <w:rFonts w:ascii="仿宋" w:eastAsia="仿宋" w:hAnsi="仿宋" w:hint="eastAsia"/>
                <w:sz w:val="24"/>
                <w:szCs w:val="24"/>
              </w:rPr>
              <w:t>目测或内窥镜</w:t>
            </w:r>
          </w:p>
        </w:tc>
      </w:tr>
      <w:tr>
        <w:trPr>
          <w:trHeight w:val="369"/>
        </w:trPr>
        <w:tc>
          <w:tcPr>
            <w:tcW w:w="826" w:type="dxa"/>
            <w:vMerge/>
            <w:vAlign w:val="center"/>
          </w:tcPr>
          <w:p/>
        </w:tc>
        <w:tc>
          <w:tcPr>
            <w:tcW w:w="992" w:type="dxa"/>
            <w:vMerge/>
            <w:tcBorders>
              <w:top w:val="single" w:sz="6" w:space="0" w:color="000000"/>
              <w:left w:val="single" w:sz="6" w:space="0" w:color="000000"/>
              <w:right w:val="single" w:sz="6" w:space="0" w:color="000000"/>
            </w:tcBorders>
            <w:vAlign w:val="center"/>
          </w:tcPr>
          <w:p/>
        </w:tc>
        <w:tc>
          <w:tcPr>
            <w:tcW w:w="6081"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立柱、横梁连接松动、变形或严重锈蚀</w:t>
            </w:r>
          </w:p>
        </w:tc>
        <w:tc>
          <w:tcPr>
            <w:tcW w:w="1800" w:type="dxa"/>
          </w:tcPr>
          <w:p>
            <w:r>
              <w:rPr>
                <w:rFonts w:ascii="仿宋" w:eastAsia="仿宋" w:hAnsi="仿宋" w:hint="eastAsia"/>
                <w:sz w:val="24"/>
                <w:szCs w:val="24"/>
              </w:rPr>
              <w:t>目测或内窥镜</w:t>
            </w:r>
          </w:p>
        </w:tc>
      </w:tr>
      <w:tr>
        <w:trPr>
          <w:trHeight w:val="369"/>
        </w:trPr>
        <w:tc>
          <w:tcPr>
            <w:tcW w:w="826" w:type="dxa"/>
            <w:vMerge/>
            <w:vAlign w:val="center"/>
          </w:tcPr>
          <w:p/>
        </w:tc>
        <w:tc>
          <w:tcPr>
            <w:tcW w:w="992" w:type="dxa"/>
            <w:vMerge/>
            <w:tcBorders>
              <w:top w:val="single" w:sz="6" w:space="0" w:color="000000"/>
              <w:left w:val="single" w:sz="6" w:space="0" w:color="000000"/>
              <w:right w:val="single" w:sz="6" w:space="0" w:color="000000"/>
            </w:tcBorders>
            <w:vAlign w:val="center"/>
          </w:tcPr>
          <w:p/>
        </w:tc>
        <w:tc>
          <w:tcPr>
            <w:tcW w:w="6081"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4.</w:t>
            </w:r>
            <w:r>
              <w:rPr>
                <w:rFonts w:ascii="仿宋" w:eastAsia="仿宋" w:hAnsi="仿宋" w:hint="eastAsia"/>
                <w:sz w:val="24"/>
                <w:szCs w:val="24"/>
              </w:rPr>
              <w:t>挂件缺失、变形或严重锈蚀</w:t>
            </w:r>
          </w:p>
        </w:tc>
        <w:tc>
          <w:tcPr>
            <w:tcW w:w="1800" w:type="dxa"/>
          </w:tcPr>
          <w:p>
            <w:r>
              <w:rPr>
                <w:rFonts w:ascii="仿宋" w:eastAsia="仿宋" w:hAnsi="仿宋" w:hint="eastAsia"/>
                <w:sz w:val="24"/>
                <w:szCs w:val="24"/>
              </w:rPr>
              <w:t>目测或内窥镜</w:t>
            </w:r>
          </w:p>
        </w:tc>
      </w:tr>
      <w:tr>
        <w:trPr>
          <w:trHeight w:val="369"/>
        </w:trPr>
        <w:tc>
          <w:tcPr>
            <w:tcW w:w="826" w:type="dxa"/>
            <w:vMerge w:val="restart"/>
            <w:vAlign w:val="center"/>
          </w:tcPr>
          <w:p>
            <w:pPr>
              <w:jc w:val="center"/>
              <w:rPr>
                <w:rFonts w:ascii="仿宋" w:eastAsia="仿宋" w:hAnsi="仿宋"/>
                <w:sz w:val="24"/>
                <w:szCs w:val="24"/>
              </w:rPr>
            </w:pPr>
            <w:r>
              <w:rPr>
                <w:rFonts w:ascii="仿宋" w:eastAsia="仿宋" w:hAnsi="仿宋"/>
                <w:sz w:val="24"/>
                <w:szCs w:val="24"/>
              </w:rPr>
              <w:t>4</w:t>
            </w:r>
          </w:p>
        </w:tc>
        <w:tc>
          <w:tcPr>
            <w:tcW w:w="992" w:type="dxa"/>
            <w:vMerge w:val="restart"/>
            <w:tcBorders>
              <w:top w:val="single" w:sz="6" w:space="0" w:color="000000"/>
              <w:left w:val="single" w:sz="6" w:space="0" w:color="000000"/>
              <w:right w:val="single" w:sz="6" w:space="0" w:color="000000"/>
            </w:tcBorders>
            <w:vAlign w:val="center"/>
          </w:tcPr>
          <w:p>
            <w:pPr>
              <w:jc w:val="center"/>
              <w:rPr>
                <w:rFonts w:ascii="仿宋" w:eastAsia="仿宋" w:hAnsi="仿宋"/>
                <w:sz w:val="24"/>
                <w:szCs w:val="24"/>
              </w:rPr>
            </w:pPr>
            <w:r>
              <w:rPr>
                <w:rFonts w:ascii="仿宋" w:eastAsia="仿宋" w:hAnsi="仿宋" w:hint="eastAsia"/>
                <w:sz w:val="24"/>
                <w:szCs w:val="24"/>
              </w:rPr>
              <w:t>雨水</w:t>
            </w:r>
          </w:p>
          <w:p>
            <w:pPr>
              <w:jc w:val="center"/>
              <w:rPr>
                <w:rFonts w:ascii="仿宋" w:eastAsia="仿宋" w:hAnsi="仿宋"/>
                <w:sz w:val="24"/>
                <w:szCs w:val="24"/>
              </w:rPr>
            </w:pPr>
            <w:r>
              <w:rPr>
                <w:rFonts w:ascii="仿宋" w:eastAsia="仿宋" w:hAnsi="仿宋" w:hint="eastAsia"/>
                <w:sz w:val="24"/>
                <w:szCs w:val="24"/>
              </w:rPr>
              <w:t>渗漏</w:t>
            </w:r>
          </w:p>
        </w:tc>
        <w:tc>
          <w:tcPr>
            <w:tcW w:w="6081"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密封胶有硬化、起泡、脱胶、开裂等</w:t>
            </w:r>
          </w:p>
        </w:tc>
        <w:tc>
          <w:tcPr>
            <w:tcW w:w="1800" w:type="dxa"/>
            <w:vAlign w:val="center"/>
          </w:tcPr>
          <w:p>
            <w:pPr>
              <w:jc w:val="center"/>
              <w:rPr>
                <w:rFonts w:ascii="仿宋" w:eastAsia="仿宋" w:hAnsi="仿宋"/>
                <w:sz w:val="24"/>
                <w:szCs w:val="24"/>
              </w:rPr>
            </w:pPr>
            <w:r>
              <w:rPr>
                <w:rFonts w:ascii="仿宋" w:eastAsia="仿宋" w:hAnsi="仿宋" w:hint="eastAsia"/>
                <w:sz w:val="24"/>
                <w:szCs w:val="24"/>
              </w:rPr>
              <w:t>目测、手试</w:t>
            </w:r>
          </w:p>
        </w:tc>
      </w:tr>
      <w:tr>
        <w:trPr>
          <w:trHeight w:val="369"/>
        </w:trPr>
        <w:tc>
          <w:tcPr>
            <w:tcW w:w="826" w:type="dxa"/>
            <w:vMerge/>
            <w:vAlign w:val="center"/>
          </w:tcPr>
          <w:p/>
        </w:tc>
        <w:tc>
          <w:tcPr>
            <w:tcW w:w="992" w:type="dxa"/>
            <w:vMerge/>
            <w:tcBorders>
              <w:top w:val="single" w:sz="6" w:space="0" w:color="000000"/>
              <w:left w:val="single" w:sz="6" w:space="0" w:color="000000"/>
              <w:right w:val="single" w:sz="6" w:space="0" w:color="000000"/>
            </w:tcBorders>
            <w:vAlign w:val="center"/>
          </w:tcPr>
          <w:p/>
        </w:tc>
        <w:tc>
          <w:tcPr>
            <w:tcW w:w="6081"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开放式幕墙未设镀锌板等防风雨措施</w:t>
            </w:r>
          </w:p>
        </w:tc>
        <w:tc>
          <w:tcPr>
            <w:tcW w:w="180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26" w:type="dxa"/>
            <w:vMerge w:val="restart"/>
            <w:vAlign w:val="center"/>
          </w:tcPr>
          <w:p>
            <w:pPr>
              <w:jc w:val="center"/>
              <w:rPr>
                <w:rFonts w:ascii="仿宋" w:eastAsia="仿宋" w:hAnsi="仿宋"/>
                <w:sz w:val="24"/>
                <w:szCs w:val="24"/>
              </w:rPr>
            </w:pPr>
            <w:r>
              <w:rPr>
                <w:rFonts w:ascii="仿宋" w:eastAsia="仿宋" w:hAnsi="仿宋"/>
                <w:sz w:val="24"/>
                <w:szCs w:val="24"/>
              </w:rPr>
              <w:t>5</w:t>
            </w:r>
          </w:p>
        </w:tc>
        <w:tc>
          <w:tcPr>
            <w:tcW w:w="992" w:type="dxa"/>
            <w:vMerge w:val="restart"/>
            <w:tcBorders>
              <w:top w:val="single" w:sz="6" w:space="0" w:color="000000"/>
              <w:left w:val="single" w:sz="6" w:space="0" w:color="000000"/>
              <w:right w:val="single" w:sz="6" w:space="0" w:color="000000"/>
            </w:tcBorders>
            <w:vAlign w:val="center"/>
          </w:tcPr>
          <w:p>
            <w:pPr>
              <w:jc w:val="center"/>
              <w:rPr>
                <w:rFonts w:ascii="仿宋" w:eastAsia="仿宋" w:hAnsi="仿宋"/>
                <w:sz w:val="24"/>
                <w:szCs w:val="24"/>
              </w:rPr>
            </w:pPr>
            <w:r>
              <w:rPr>
                <w:rFonts w:ascii="仿宋" w:eastAsia="仿宋" w:hAnsi="仿宋" w:hint="eastAsia"/>
                <w:sz w:val="24"/>
                <w:szCs w:val="24"/>
              </w:rPr>
              <w:t>拆改</w:t>
            </w:r>
          </w:p>
          <w:p>
            <w:pPr>
              <w:jc w:val="center"/>
              <w:rPr>
                <w:rFonts w:ascii="仿宋" w:eastAsia="仿宋" w:hAnsi="仿宋"/>
                <w:sz w:val="24"/>
                <w:szCs w:val="24"/>
              </w:rPr>
            </w:pPr>
            <w:r>
              <w:rPr>
                <w:rFonts w:ascii="仿宋" w:eastAsia="仿宋" w:hAnsi="仿宋" w:hint="eastAsia"/>
                <w:sz w:val="24"/>
                <w:szCs w:val="24"/>
              </w:rPr>
              <w:t>部位</w:t>
            </w:r>
          </w:p>
        </w:tc>
        <w:tc>
          <w:tcPr>
            <w:tcW w:w="6081"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受力构件、连接构造被拆卸、更改等现象</w:t>
            </w:r>
          </w:p>
        </w:tc>
        <w:tc>
          <w:tcPr>
            <w:tcW w:w="180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26" w:type="dxa"/>
            <w:vMerge/>
            <w:vAlign w:val="center"/>
          </w:tcPr>
          <w:p/>
        </w:tc>
        <w:tc>
          <w:tcPr>
            <w:tcW w:w="992" w:type="dxa"/>
            <w:vMerge/>
            <w:tcBorders>
              <w:top w:val="single" w:sz="6" w:space="0" w:color="000000"/>
              <w:left w:val="single" w:sz="6" w:space="0" w:color="000000"/>
              <w:right w:val="single" w:sz="6" w:space="0" w:color="000000"/>
            </w:tcBorders>
            <w:vAlign w:val="center"/>
          </w:tcPr>
          <w:p/>
        </w:tc>
        <w:tc>
          <w:tcPr>
            <w:tcW w:w="6081" w:type="dxa"/>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防火封堵和防雷连接被拆卸、更改等现象</w:t>
            </w:r>
          </w:p>
        </w:tc>
        <w:tc>
          <w:tcPr>
            <w:tcW w:w="1800" w:type="dxa"/>
            <w:vAlign w:val="center"/>
          </w:tcPr>
          <w:p>
            <w:pPr>
              <w:jc w:val="center"/>
              <w:rPr>
                <w:rFonts w:ascii="仿宋" w:eastAsia="仿宋" w:hAnsi="仿宋"/>
                <w:sz w:val="24"/>
                <w:szCs w:val="24"/>
              </w:rPr>
            </w:pPr>
            <w:r>
              <w:rPr>
                <w:rFonts w:ascii="仿宋" w:eastAsia="仿宋" w:hAnsi="仿宋" w:hint="eastAsia"/>
                <w:sz w:val="24"/>
                <w:szCs w:val="24"/>
              </w:rPr>
              <w:t>目测</w:t>
            </w:r>
          </w:p>
        </w:tc>
      </w:tr>
      <w:tr>
        <w:trPr>
          <w:trHeight w:val="369"/>
        </w:trPr>
        <w:tc>
          <w:tcPr>
            <w:tcW w:w="826" w:type="dxa"/>
            <w:vMerge/>
            <w:tcBorders>
              <w:bottom w:val="single" w:sz="12" w:space="0" w:color="000000"/>
            </w:tcBorders>
            <w:vAlign w:val="center"/>
          </w:tcPr>
          <w:p/>
        </w:tc>
        <w:tc>
          <w:tcPr>
            <w:tcW w:w="992" w:type="dxa"/>
            <w:vMerge/>
            <w:tcBorders>
              <w:bottom w:val="single" w:sz="12" w:space="0" w:color="000000"/>
            </w:tcBorders>
            <w:vAlign w:val="center"/>
          </w:tcPr>
          <w:p/>
        </w:tc>
        <w:tc>
          <w:tcPr>
            <w:tcW w:w="6081" w:type="dxa"/>
            <w:tcBorders>
              <w:bottom w:val="single" w:sz="12"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擅自在幕墙上设置霓虹灯、招牌及广告等设施</w:t>
            </w:r>
          </w:p>
        </w:tc>
        <w:tc>
          <w:tcPr>
            <w:tcW w:w="1800" w:type="dxa"/>
            <w:tcBorders>
              <w:bottom w:val="single" w:sz="12" w:space="0" w:color="000000"/>
            </w:tcBorders>
            <w:vAlign w:val="center"/>
          </w:tcPr>
          <w:p>
            <w:pPr>
              <w:jc w:val="center"/>
              <w:rPr>
                <w:rFonts w:ascii="仿宋" w:eastAsia="仿宋" w:hAnsi="仿宋"/>
                <w:sz w:val="24"/>
                <w:szCs w:val="24"/>
              </w:rPr>
            </w:pPr>
            <w:r>
              <w:rPr>
                <w:rFonts w:ascii="仿宋" w:eastAsia="仿宋" w:hAnsi="仿宋" w:hint="eastAsia"/>
                <w:sz w:val="24"/>
                <w:szCs w:val="24"/>
              </w:rPr>
              <w:t>目测</w:t>
            </w:r>
          </w:p>
        </w:tc>
      </w:tr>
    </w:tbl>
    <w:p>
      <w:pPr>
        <w:pStyle w:val="55"/>
        <w:widowControl/>
        <w:tabs>
          <w:tab w:val="left" w:pos="709"/>
        </w:tabs>
        <w:spacing w:line="360" w:lineRule="auto"/>
        <w:ind w:firstLineChars="0" w:firstLine="0"/>
        <w:jc w:val="left"/>
        <w:rPr>
          <w:rFonts w:ascii="仿宋" w:eastAsia="仿宋" w:hAnsi="仿宋"/>
          <w:sz w:val="28"/>
          <w:szCs w:val="28"/>
        </w:rPr>
      </w:pPr>
    </w:p>
    <w:p>
      <w:pPr>
        <w:pStyle w:val="55"/>
        <w:widowControl/>
        <w:tabs>
          <w:tab w:val="left" w:pos="709"/>
        </w:tabs>
        <w:spacing w:line="360" w:lineRule="auto"/>
        <w:ind w:firstLineChars="0" w:firstLine="0"/>
        <w:jc w:val="left"/>
        <w:rPr>
          <w:rFonts w:ascii="仿宋" w:eastAsia="仿宋" w:hAnsi="仿宋"/>
          <w:sz w:val="28"/>
          <w:szCs w:val="28"/>
        </w:rPr>
      </w:pPr>
    </w:p>
    <w:p>
      <w:pPr>
        <w:pStyle w:val="55"/>
        <w:widowControl/>
        <w:tabs>
          <w:tab w:val="left" w:pos="709"/>
        </w:tabs>
        <w:spacing w:line="360" w:lineRule="auto"/>
        <w:ind w:firstLineChars="0" w:firstLine="0"/>
        <w:jc w:val="left"/>
        <w:rPr>
          <w:rFonts w:ascii="仿宋" w:eastAsia="仿宋" w:hAnsi="仿宋"/>
          <w:sz w:val="28"/>
          <w:szCs w:val="28"/>
        </w:rPr>
      </w:pPr>
    </w:p>
    <w:p>
      <w:pPr>
        <w:pStyle w:val="55"/>
        <w:widowControl/>
        <w:spacing w:beforeLines="50" w:before="156" w:line="360" w:lineRule="auto"/>
        <w:ind w:firstLineChars="0" w:firstLine="0"/>
        <w:outlineLvl w:val="0"/>
        <w:rPr>
          <w:rFonts w:ascii="Times New Roman" w:eastAsia="黑体" w:hAnsi="Times New Roman"/>
          <w:b/>
          <w:bCs/>
          <w:kern w:val="0"/>
          <w:sz w:val="32"/>
          <w:szCs w:val="32"/>
        </w:rPr>
      </w:pPr>
      <w:r>
        <w:rPr>
          <w:rFonts w:ascii="仿宋" w:eastAsia="仿宋" w:hAnsi="仿宋"/>
          <w:sz w:val="28"/>
          <w:szCs w:val="28"/>
        </w:rPr>
        <w:br w:type="page"/>
      </w:r>
      <w:bookmarkStart w:id="10" w:name="_Toc13905424"/>
      <w:r>
        <w:rPr>
          <w:rFonts w:ascii="Times New Roman" w:eastAsia="黑体" w:hAnsi="Times New Roman" w:hint="eastAsia"/>
          <w:b/>
          <w:bCs/>
          <w:kern w:val="0"/>
          <w:sz w:val="32"/>
          <w:szCs w:val="32"/>
        </w:rPr>
        <w:t>附录</w:t>
      </w:r>
      <w:r>
        <w:rPr>
          <w:rFonts w:ascii="Times New Roman" w:eastAsia="黑体" w:hAnsi="Times New Roman"/>
          <w:b/>
          <w:bCs/>
          <w:kern w:val="0"/>
          <w:sz w:val="32"/>
          <w:szCs w:val="32"/>
        </w:rPr>
        <w:t>2</w:t>
      </w:r>
      <w:r>
        <w:rPr>
          <w:rFonts w:ascii="Times New Roman" w:eastAsia="黑体" w:hAnsi="Times New Roman" w:hint="eastAsia"/>
          <w:b/>
          <w:bCs/>
          <w:kern w:val="0"/>
          <w:sz w:val="32"/>
          <w:szCs w:val="32"/>
        </w:rPr>
        <w:t>建筑幕墙安全检查用表</w:t>
      </w:r>
      <w:bookmarkEnd w:id="10"/>
    </w:p>
    <w:p>
      <w:pPr>
        <w:ind w:firstLineChars="900" w:firstLine="2520"/>
        <w:rPr>
          <w:rFonts w:ascii="新宋体" w:eastAsia="新宋体" w:hAnsi="新宋体"/>
          <w:b/>
          <w:sz w:val="28"/>
          <w:szCs w:val="28"/>
        </w:rPr>
      </w:pPr>
      <w:r>
        <w:rPr>
          <w:rFonts w:ascii="新宋体" w:eastAsia="新宋体" w:hAnsi="新宋体" w:hint="eastAsia"/>
          <w:b/>
          <w:sz w:val="28"/>
          <w:szCs w:val="28"/>
        </w:rPr>
        <w:t>表</w:t>
      </w:r>
      <w:r>
        <w:rPr>
          <w:rFonts w:ascii="新宋体" w:eastAsia="新宋体" w:hAnsi="新宋体"/>
          <w:b/>
          <w:sz w:val="28"/>
          <w:szCs w:val="28"/>
        </w:rPr>
        <w:t xml:space="preserve">2.1 </w:t>
      </w:r>
      <w:r>
        <w:rPr>
          <w:rFonts w:ascii="新宋体" w:eastAsia="新宋体" w:hAnsi="新宋体" w:hint="eastAsia"/>
          <w:b/>
          <w:sz w:val="28"/>
          <w:szCs w:val="28"/>
        </w:rPr>
        <w:t>建筑幕墙基本概况表</w:t>
      </w:r>
    </w:p>
    <w:tbl>
      <w:tblPr>
        <w:jc w:val="left"/>
        <w:tblInd w:w="0" w:type="dxa"/>
        <w:tblW w:w="962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0" w:type="dxa"/>
          <w:left w:w="108" w:type="dxa"/>
          <w:bottom w:w="0" w:type="dxa"/>
          <w:right w:w="108" w:type="dxa"/>
        </w:tblCellMar>
      </w:tblPr>
      <w:tblGrid>
        <w:gridCol w:w="429"/>
        <w:gridCol w:w="1920"/>
        <w:gridCol w:w="2535"/>
        <w:gridCol w:w="2085"/>
        <w:gridCol w:w="1365"/>
        <w:gridCol w:w="1290"/>
      </w:tblGrid>
      <w:tr>
        <w:trPr>
          <w:trHeight w:hRule="exact" w:val="539"/>
        </w:trPr>
        <w:tc>
          <w:tcPr>
            <w:tcW w:w="2349" w:type="dxa"/>
            <w:gridSpan w:val="2"/>
            <w:tcBorders>
              <w:top w:val="single" w:sz="4" w:space="0" w:color="auto"/>
            </w:tcBorders>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建筑名称</w:t>
            </w:r>
          </w:p>
        </w:tc>
        <w:tc>
          <w:tcPr>
            <w:tcW w:w="2535" w:type="dxa"/>
            <w:tcBorders>
              <w:top w:val="single" w:sz="4" w:space="0" w:color="auto"/>
            </w:tcBorders>
            <w:vAlign w:val="center"/>
          </w:tcPr>
          <w:p>
            <w:pPr>
              <w:pStyle w:val="16"/>
              <w:spacing w:line="360" w:lineRule="auto"/>
              <w:jc w:val="center"/>
              <w:rPr>
                <w:rFonts w:ascii="仿宋_GB2312" w:eastAsia="仿宋_GB2312" w:cs="Times New Roman"/>
                <w:color w:val="auto"/>
              </w:rPr>
            </w:pPr>
          </w:p>
        </w:tc>
        <w:tc>
          <w:tcPr>
            <w:tcW w:w="2085" w:type="dxa"/>
            <w:tcBorders>
              <w:top w:val="single" w:sz="4" w:space="0" w:color="auto"/>
            </w:tcBorders>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登记代码</w:t>
            </w:r>
          </w:p>
        </w:tc>
        <w:tc>
          <w:tcPr>
            <w:tcW w:w="2655" w:type="dxa"/>
            <w:gridSpan w:val="2"/>
            <w:tcBorders>
              <w:top w:val="single" w:sz="4" w:space="0" w:color="auto"/>
            </w:tcBorders>
            <w:vAlign w:val="center"/>
          </w:tcPr>
          <w:p>
            <w:pPr>
              <w:pStyle w:val="16"/>
              <w:spacing w:line="360" w:lineRule="auto"/>
              <w:jc w:val="center"/>
              <w:rPr>
                <w:rFonts w:ascii="仿宋_GB2312" w:eastAsia="仿宋_GB2312" w:cs="Times New Roman"/>
                <w:color w:val="auto"/>
              </w:rPr>
            </w:pPr>
          </w:p>
        </w:tc>
      </w:tr>
      <w:tr>
        <w:trPr>
          <w:trHeight w:hRule="exact" w:val="539"/>
        </w:trPr>
        <w:tc>
          <w:tcPr>
            <w:tcW w:w="2349" w:type="dxa"/>
            <w:gridSpan w:val="2"/>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建筑地址</w:t>
            </w:r>
          </w:p>
        </w:tc>
        <w:tc>
          <w:tcPr>
            <w:tcW w:w="2535"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rPr>
            </w:pPr>
          </w:p>
        </w:tc>
        <w:tc>
          <w:tcPr>
            <w:tcW w:w="2085" w:type="dxa"/>
            <w:tcBorders>
              <w:top w:val="single" w:sz="6" w:space="0" w:color="auto"/>
              <w:left w:val="single" w:sz="6" w:space="0" w:color="auto"/>
              <w:right w:val="single" w:sz="6" w:space="0" w:color="auto"/>
            </w:tcBorders>
            <w:vAlign w:val="center"/>
          </w:tcPr>
          <w:p>
            <w:pPr>
              <w:pStyle w:val="16"/>
              <w:rPr>
                <w:rFonts w:ascii="仿宋_GB2312" w:eastAsia="仿宋_GB2312" w:cs="Times New Roman"/>
                <w:color w:val="auto"/>
              </w:rPr>
            </w:pPr>
            <w:r>
              <w:rPr>
                <w:rFonts w:ascii="仿宋_GB2312" w:eastAsia="仿宋_GB2312" w:cs="Times New Roman" w:hint="eastAsia"/>
                <w:color w:val="auto"/>
              </w:rPr>
              <w:t>房屋产权号</w:t>
            </w:r>
            <w:r>
              <w:rPr>
                <w:rFonts w:ascii="仿宋_GB2312" w:eastAsia="仿宋_GB2312" w:cs="Times New Roman"/>
                <w:color w:val="auto"/>
              </w:rPr>
              <w:t>/</w:t>
            </w:r>
            <w:r>
              <w:rPr>
                <w:rFonts w:ascii="仿宋_GB2312" w:eastAsia="仿宋_GB2312" w:cs="Times New Roman" w:hint="eastAsia"/>
                <w:color w:val="auto"/>
              </w:rPr>
              <w:t>丘号</w:t>
            </w:r>
          </w:p>
        </w:tc>
        <w:tc>
          <w:tcPr>
            <w:tcW w:w="2655" w:type="dxa"/>
            <w:gridSpan w:val="2"/>
            <w:vAlign w:val="center"/>
          </w:tcPr>
          <w:p>
            <w:pPr>
              <w:pStyle w:val="16"/>
              <w:spacing w:line="360" w:lineRule="auto"/>
              <w:jc w:val="center"/>
              <w:rPr>
                <w:rFonts w:ascii="仿宋_GB2312" w:eastAsia="仿宋_GB2312" w:cs="Times New Roman"/>
                <w:color w:val="auto"/>
              </w:rPr>
            </w:pPr>
          </w:p>
        </w:tc>
      </w:tr>
      <w:tr>
        <w:trPr>
          <w:trHeight w:hRule="exact" w:val="539"/>
        </w:trPr>
        <w:tc>
          <w:tcPr>
            <w:tcW w:w="2349" w:type="dxa"/>
            <w:gridSpan w:val="2"/>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业主情况</w:t>
            </w:r>
          </w:p>
        </w:tc>
        <w:tc>
          <w:tcPr>
            <w:tcW w:w="7275" w:type="dxa"/>
            <w:gridSpan w:val="4"/>
            <w:vAlign w:val="center"/>
          </w:tcPr>
          <w:p>
            <w:pPr>
              <w:pStyle w:val="16"/>
              <w:spacing w:line="360" w:lineRule="auto"/>
              <w:rPr>
                <w:rFonts w:ascii="仿宋_GB2312" w:eastAsia="仿宋_GB2312" w:cs="Times New Roman"/>
                <w:color w:val="auto"/>
              </w:rPr>
            </w:pPr>
            <w:r>
              <w:rPr>
                <w:rFonts w:ascii="仿宋_GB2312" w:eastAsia="仿宋_GB2312" w:cs="Times New Roman" w:hint="eastAsia"/>
                <w:color w:val="auto"/>
              </w:rPr>
              <w:t>□单一业主□业主≤</w:t>
            </w:r>
            <w:r>
              <w:rPr>
                <w:rFonts w:ascii="仿宋_GB2312" w:eastAsia="仿宋_GB2312" w:cs="Times New Roman"/>
                <w:color w:val="auto"/>
              </w:rPr>
              <w:t>50</w:t>
            </w:r>
            <w:r>
              <w:rPr>
                <w:rFonts w:ascii="仿宋_GB2312" w:eastAsia="仿宋_GB2312" w:cs="Times New Roman" w:hint="eastAsia"/>
                <w:color w:val="auto"/>
              </w:rPr>
              <w:t>户□业主≤</w:t>
            </w:r>
            <w:r>
              <w:rPr>
                <w:rFonts w:ascii="仿宋_GB2312" w:eastAsia="仿宋_GB2312" w:cs="Times New Roman"/>
                <w:color w:val="auto"/>
              </w:rPr>
              <w:t>100</w:t>
            </w:r>
            <w:r>
              <w:rPr>
                <w:rFonts w:ascii="仿宋_GB2312" w:eastAsia="仿宋_GB2312" w:cs="Times New Roman" w:hint="eastAsia"/>
                <w:color w:val="auto"/>
              </w:rPr>
              <w:t>户□业主＞</w:t>
            </w:r>
            <w:r>
              <w:rPr>
                <w:rFonts w:ascii="仿宋_GB2312" w:eastAsia="仿宋_GB2312" w:cs="Times New Roman"/>
                <w:color w:val="auto"/>
              </w:rPr>
              <w:t>100</w:t>
            </w:r>
            <w:r>
              <w:rPr>
                <w:rFonts w:ascii="仿宋_GB2312" w:eastAsia="仿宋_GB2312" w:cs="Times New Roman" w:hint="eastAsia"/>
                <w:color w:val="auto"/>
              </w:rPr>
              <w:t>户□在售房产</w:t>
            </w:r>
          </w:p>
        </w:tc>
      </w:tr>
      <w:tr>
        <w:trPr>
          <w:trHeight w:hRule="exact" w:val="539"/>
        </w:trPr>
        <w:tc>
          <w:tcPr>
            <w:tcW w:w="2349" w:type="dxa"/>
            <w:gridSpan w:val="2"/>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安全维护责任人（代理人）</w:t>
            </w:r>
          </w:p>
        </w:tc>
        <w:tc>
          <w:tcPr>
            <w:tcW w:w="4620" w:type="dxa"/>
            <w:gridSpan w:val="2"/>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rPr>
            </w:pPr>
          </w:p>
        </w:tc>
        <w:tc>
          <w:tcPr>
            <w:tcW w:w="1365"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是否有变更</w:t>
            </w:r>
          </w:p>
        </w:tc>
        <w:tc>
          <w:tcPr>
            <w:tcW w:w="1290" w:type="dxa"/>
            <w:vAlign w:val="center"/>
          </w:tcPr>
          <w:p>
            <w:pPr>
              <w:pStyle w:val="16"/>
              <w:spacing w:line="360" w:lineRule="auto"/>
              <w:rPr>
                <w:rFonts w:ascii="仿宋_GB2312" w:eastAsia="仿宋_GB2312" w:cs="Times New Roman"/>
                <w:color w:val="auto"/>
              </w:rPr>
            </w:pPr>
            <w:r>
              <w:rPr>
                <w:rFonts w:ascii="仿宋_GB2312" w:eastAsia="仿宋_GB2312" w:cs="Times New Roman" w:hint="eastAsia"/>
                <w:color w:val="auto"/>
              </w:rPr>
              <w:t>□有□无</w:t>
            </w:r>
          </w:p>
        </w:tc>
      </w:tr>
      <w:tr>
        <w:trPr>
          <w:trHeight w:hRule="exact" w:val="539"/>
        </w:trPr>
        <w:tc>
          <w:tcPr>
            <w:tcW w:w="2349" w:type="dxa"/>
            <w:gridSpan w:val="2"/>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联系人姓名</w:t>
            </w:r>
          </w:p>
        </w:tc>
        <w:tc>
          <w:tcPr>
            <w:tcW w:w="2535"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rPr>
            </w:pPr>
          </w:p>
        </w:tc>
        <w:tc>
          <w:tcPr>
            <w:tcW w:w="2085"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联系电话</w:t>
            </w:r>
          </w:p>
        </w:tc>
        <w:tc>
          <w:tcPr>
            <w:tcW w:w="2655" w:type="dxa"/>
            <w:gridSpan w:val="2"/>
            <w:vAlign w:val="center"/>
          </w:tcPr>
          <w:p>
            <w:pPr>
              <w:pStyle w:val="16"/>
              <w:spacing w:line="360" w:lineRule="auto"/>
              <w:jc w:val="center"/>
              <w:rPr>
                <w:rFonts w:ascii="仿宋_GB2312" w:eastAsia="仿宋_GB2312" w:cs="Times New Roman"/>
                <w:color w:val="auto"/>
              </w:rPr>
            </w:pPr>
          </w:p>
        </w:tc>
      </w:tr>
      <w:tr>
        <w:trPr>
          <w:trHeight w:hRule="exact" w:val="539"/>
        </w:trPr>
        <w:tc>
          <w:tcPr>
            <w:tcW w:w="2349" w:type="dxa"/>
            <w:gridSpan w:val="2"/>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建筑高度（</w:t>
            </w:r>
            <w:r>
              <w:rPr>
                <w:rFonts w:ascii="仿宋_GB2312" w:eastAsia="仿宋_GB2312" w:cs="Times New Roman"/>
                <w:color w:val="auto"/>
              </w:rPr>
              <w:t>m</w:t>
            </w:r>
            <w:r>
              <w:rPr>
                <w:rFonts w:ascii="仿宋_GB2312" w:eastAsia="仿宋_GB2312" w:cs="Times New Roman" w:hint="eastAsia"/>
                <w:color w:val="auto"/>
              </w:rPr>
              <w:t>）</w:t>
            </w:r>
          </w:p>
        </w:tc>
        <w:tc>
          <w:tcPr>
            <w:tcW w:w="2535"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rPr>
            </w:pPr>
          </w:p>
        </w:tc>
        <w:tc>
          <w:tcPr>
            <w:tcW w:w="2085"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建筑面积（</w:t>
            </w:r>
            <w:r>
              <w:rPr>
                <w:rFonts w:ascii="仿宋_GB2312" w:eastAsia="仿宋_GB2312"/>
                <w:color w:val="auto"/>
              </w:rPr>
              <w:t>m</w:t>
            </w:r>
            <w:r>
              <w:rPr>
                <w:rFonts w:ascii="仿宋_GB2312" w:eastAsia="仿宋_GB2312"/>
                <w:color w:val="auto"/>
                <w:vertAlign w:val="superscript"/>
              </w:rPr>
              <w:t>2</w:t>
            </w:r>
            <w:r>
              <w:rPr>
                <w:rFonts w:ascii="仿宋_GB2312" w:eastAsia="仿宋_GB2312" w:cs="Times New Roman" w:hint="eastAsia"/>
                <w:color w:val="auto"/>
              </w:rPr>
              <w:t>）</w:t>
            </w:r>
          </w:p>
        </w:tc>
        <w:tc>
          <w:tcPr>
            <w:tcW w:w="2655" w:type="dxa"/>
            <w:gridSpan w:val="2"/>
            <w:vAlign w:val="center"/>
          </w:tcPr>
          <w:p>
            <w:pPr>
              <w:pStyle w:val="16"/>
              <w:spacing w:line="360" w:lineRule="auto"/>
              <w:jc w:val="center"/>
              <w:rPr>
                <w:rFonts w:ascii="仿宋_GB2312" w:eastAsia="仿宋_GB2312" w:cs="Times New Roman"/>
                <w:color w:val="auto"/>
              </w:rPr>
            </w:pPr>
          </w:p>
        </w:tc>
      </w:tr>
      <w:tr>
        <w:trPr>
          <w:trHeight w:hRule="exact" w:val="539"/>
        </w:trPr>
        <w:tc>
          <w:tcPr>
            <w:tcW w:w="2349" w:type="dxa"/>
            <w:gridSpan w:val="2"/>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建设单位</w:t>
            </w:r>
          </w:p>
        </w:tc>
        <w:tc>
          <w:tcPr>
            <w:tcW w:w="2535"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rPr>
            </w:pPr>
          </w:p>
        </w:tc>
        <w:tc>
          <w:tcPr>
            <w:tcW w:w="2085"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设计单位</w:t>
            </w:r>
          </w:p>
        </w:tc>
        <w:tc>
          <w:tcPr>
            <w:tcW w:w="2655" w:type="dxa"/>
            <w:gridSpan w:val="2"/>
            <w:vAlign w:val="center"/>
          </w:tcPr>
          <w:p>
            <w:pPr>
              <w:pStyle w:val="16"/>
              <w:spacing w:line="360" w:lineRule="auto"/>
              <w:jc w:val="center"/>
              <w:rPr>
                <w:rFonts w:ascii="仿宋_GB2312" w:eastAsia="仿宋_GB2312" w:cs="Times New Roman"/>
                <w:color w:val="auto"/>
              </w:rPr>
            </w:pPr>
          </w:p>
        </w:tc>
      </w:tr>
      <w:tr>
        <w:trPr>
          <w:trHeight w:hRule="exact" w:val="539"/>
        </w:trPr>
        <w:tc>
          <w:tcPr>
            <w:tcW w:w="2349" w:type="dxa"/>
            <w:gridSpan w:val="2"/>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施工单位</w:t>
            </w:r>
          </w:p>
        </w:tc>
        <w:tc>
          <w:tcPr>
            <w:tcW w:w="2535"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rPr>
            </w:pPr>
          </w:p>
        </w:tc>
        <w:tc>
          <w:tcPr>
            <w:tcW w:w="2085"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监理单位</w:t>
            </w:r>
          </w:p>
        </w:tc>
        <w:tc>
          <w:tcPr>
            <w:tcW w:w="2655" w:type="dxa"/>
            <w:gridSpan w:val="2"/>
            <w:vAlign w:val="center"/>
          </w:tcPr>
          <w:p>
            <w:pPr>
              <w:pStyle w:val="16"/>
              <w:spacing w:line="360" w:lineRule="auto"/>
              <w:jc w:val="center"/>
              <w:rPr>
                <w:rFonts w:ascii="仿宋_GB2312" w:eastAsia="仿宋_GB2312" w:cs="Times New Roman"/>
                <w:color w:val="auto"/>
              </w:rPr>
            </w:pPr>
          </w:p>
        </w:tc>
      </w:tr>
      <w:tr>
        <w:trPr>
          <w:trHeight w:hRule="exact" w:val="539"/>
        </w:trPr>
        <w:tc>
          <w:tcPr>
            <w:tcW w:w="2349" w:type="dxa"/>
            <w:gridSpan w:val="2"/>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幕墙类型</w:t>
            </w:r>
          </w:p>
        </w:tc>
        <w:tc>
          <w:tcPr>
            <w:tcW w:w="7275" w:type="dxa"/>
            <w:gridSpan w:val="4"/>
            <w:vAlign w:val="center"/>
          </w:tcPr>
          <w:p>
            <w:pPr>
              <w:pStyle w:val="16"/>
              <w:spacing w:line="360" w:lineRule="auto"/>
              <w:jc w:val="both"/>
              <w:rPr>
                <w:rFonts w:ascii="仿宋_GB2312" w:eastAsia="仿宋_GB2312" w:cs="Times New Roman"/>
                <w:color w:val="auto"/>
              </w:rPr>
            </w:pPr>
            <w:r>
              <w:rPr>
                <w:rFonts w:ascii="仿宋_GB2312" w:eastAsia="仿宋_GB2312" w:cs="Times New Roman" w:hint="eastAsia"/>
                <w:color w:val="auto"/>
              </w:rPr>
              <w:t>□玻璃□金属□人造板材□石材□其它</w:t>
            </w:r>
          </w:p>
        </w:tc>
      </w:tr>
      <w:tr>
        <w:trPr>
          <w:trHeight w:hRule="exact" w:val="539"/>
        </w:trPr>
        <w:tc>
          <w:tcPr>
            <w:tcW w:w="2349" w:type="dxa"/>
            <w:gridSpan w:val="2"/>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幕墙高度（</w:t>
            </w:r>
            <w:r>
              <w:rPr>
                <w:rFonts w:ascii="仿宋_GB2312" w:eastAsia="仿宋_GB2312" w:cs="Times New Roman"/>
                <w:color w:val="auto"/>
              </w:rPr>
              <w:t>m</w:t>
            </w:r>
            <w:r>
              <w:rPr>
                <w:rFonts w:ascii="仿宋_GB2312" w:eastAsia="仿宋_GB2312" w:cs="Times New Roman" w:hint="eastAsia"/>
                <w:color w:val="auto"/>
              </w:rPr>
              <w:t>）</w:t>
            </w:r>
          </w:p>
        </w:tc>
        <w:tc>
          <w:tcPr>
            <w:tcW w:w="2535"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rPr>
            </w:pPr>
          </w:p>
        </w:tc>
        <w:tc>
          <w:tcPr>
            <w:tcW w:w="2085"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幕墙面积（</w:t>
            </w:r>
            <w:r>
              <w:rPr>
                <w:rFonts w:ascii="仿宋_GB2312" w:eastAsia="仿宋_GB2312"/>
                <w:color w:val="auto"/>
              </w:rPr>
              <w:t>m</w:t>
            </w:r>
            <w:r>
              <w:rPr>
                <w:rFonts w:ascii="仿宋_GB2312" w:eastAsia="仿宋_GB2312"/>
                <w:color w:val="auto"/>
                <w:vertAlign w:val="superscript"/>
              </w:rPr>
              <w:t>2</w:t>
            </w:r>
            <w:r>
              <w:rPr>
                <w:rFonts w:ascii="仿宋_GB2312" w:eastAsia="仿宋_GB2312" w:cs="Times New Roman" w:hint="eastAsia"/>
                <w:color w:val="auto"/>
              </w:rPr>
              <w:t>）</w:t>
            </w:r>
          </w:p>
        </w:tc>
        <w:tc>
          <w:tcPr>
            <w:tcW w:w="2655" w:type="dxa"/>
            <w:gridSpan w:val="2"/>
            <w:vAlign w:val="center"/>
          </w:tcPr>
          <w:p>
            <w:pPr>
              <w:pStyle w:val="16"/>
              <w:spacing w:line="360" w:lineRule="auto"/>
              <w:jc w:val="center"/>
              <w:rPr>
                <w:rFonts w:ascii="仿宋_GB2312" w:eastAsia="仿宋_GB2312" w:cs="Times New Roman"/>
                <w:color w:val="auto"/>
              </w:rPr>
            </w:pPr>
          </w:p>
        </w:tc>
      </w:tr>
      <w:tr>
        <w:trPr>
          <w:trHeight w:hRule="exact" w:val="539"/>
        </w:trPr>
        <w:tc>
          <w:tcPr>
            <w:tcW w:w="2349" w:type="dxa"/>
            <w:gridSpan w:val="2"/>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幕墙设计单位</w:t>
            </w:r>
          </w:p>
        </w:tc>
        <w:tc>
          <w:tcPr>
            <w:tcW w:w="2535"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rPr>
            </w:pPr>
          </w:p>
        </w:tc>
        <w:tc>
          <w:tcPr>
            <w:tcW w:w="2085"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幕墙施工单位</w:t>
            </w:r>
          </w:p>
        </w:tc>
        <w:tc>
          <w:tcPr>
            <w:tcW w:w="2655" w:type="dxa"/>
            <w:gridSpan w:val="2"/>
            <w:vAlign w:val="center"/>
          </w:tcPr>
          <w:p>
            <w:pPr>
              <w:pStyle w:val="16"/>
              <w:spacing w:line="360" w:lineRule="auto"/>
              <w:jc w:val="center"/>
              <w:rPr>
                <w:rFonts w:ascii="仿宋_GB2312" w:eastAsia="仿宋_GB2312" w:cs="Times New Roman"/>
                <w:color w:val="auto"/>
              </w:rPr>
            </w:pPr>
          </w:p>
        </w:tc>
      </w:tr>
      <w:tr>
        <w:trPr>
          <w:trHeight w:hRule="exact" w:val="539"/>
        </w:trPr>
        <w:tc>
          <w:tcPr>
            <w:tcW w:w="2349" w:type="dxa"/>
            <w:gridSpan w:val="2"/>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幕墙开工时间</w:t>
            </w:r>
          </w:p>
        </w:tc>
        <w:tc>
          <w:tcPr>
            <w:tcW w:w="2535"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rPr>
            </w:pPr>
          </w:p>
        </w:tc>
        <w:tc>
          <w:tcPr>
            <w:tcW w:w="2085"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幕墙竣工时间</w:t>
            </w:r>
          </w:p>
        </w:tc>
        <w:tc>
          <w:tcPr>
            <w:tcW w:w="2655" w:type="dxa"/>
            <w:gridSpan w:val="2"/>
            <w:vAlign w:val="center"/>
          </w:tcPr>
          <w:p>
            <w:pPr>
              <w:pStyle w:val="16"/>
              <w:spacing w:line="360" w:lineRule="auto"/>
              <w:jc w:val="center"/>
              <w:rPr>
                <w:rFonts w:ascii="仿宋_GB2312" w:eastAsia="仿宋_GB2312" w:cs="Times New Roman"/>
                <w:color w:val="auto"/>
              </w:rPr>
            </w:pPr>
          </w:p>
        </w:tc>
      </w:tr>
      <w:tr>
        <w:trPr>
          <w:trHeight w:hRule="exact" w:val="935"/>
        </w:trPr>
        <w:tc>
          <w:tcPr>
            <w:tcW w:w="2349" w:type="dxa"/>
            <w:gridSpan w:val="2"/>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房屋用途</w:t>
            </w:r>
          </w:p>
          <w:p>
            <w:pPr>
              <w:pStyle w:val="16"/>
              <w:spacing w:line="360" w:lineRule="auto"/>
              <w:jc w:val="center"/>
              <w:rPr>
                <w:rFonts w:ascii="仿宋_GB2312" w:eastAsia="仿宋_GB2312" w:cs="Times New Roman"/>
                <w:color w:val="auto"/>
              </w:rPr>
            </w:pPr>
          </w:p>
          <w:p>
            <w:pPr>
              <w:pStyle w:val="16"/>
              <w:spacing w:line="360" w:lineRule="auto"/>
              <w:jc w:val="center"/>
              <w:rPr>
                <w:rFonts w:ascii="仿宋_GB2312" w:eastAsia="仿宋_GB2312" w:cs="Times New Roman"/>
                <w:color w:val="auto"/>
              </w:rPr>
            </w:pPr>
          </w:p>
        </w:tc>
        <w:tc>
          <w:tcPr>
            <w:tcW w:w="7275" w:type="dxa"/>
            <w:gridSpan w:val="4"/>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□住宅□校舍□公寓□办公□商业□文化□娱乐□体育□金融□信息□教育□医疗卫生□科研□工业□交通□仓储□其它</w:t>
            </w:r>
          </w:p>
        </w:tc>
      </w:tr>
      <w:tr>
        <w:trPr>
          <w:trHeight w:val="533"/>
        </w:trPr>
        <w:tc>
          <w:tcPr>
            <w:tcW w:w="429" w:type="dxa"/>
            <w:vMerge w:val="restart"/>
            <w:vAlign w:val="center"/>
          </w:tcPr>
          <w:p>
            <w:pPr>
              <w:jc w:val="center"/>
              <w:rPr>
                <w:rFonts w:ascii="仿宋_GB2312" w:eastAsia="仿宋_GB2312"/>
                <w:b/>
                <w:bCs/>
                <w:sz w:val="24"/>
                <w:szCs w:val="24"/>
              </w:rPr>
            </w:pPr>
            <w:r>
              <w:rPr>
                <w:rFonts w:ascii="仿宋_GB2312" w:eastAsia="仿宋_GB2312" w:hint="eastAsia"/>
                <w:b/>
                <w:bCs/>
                <w:sz w:val="24"/>
                <w:szCs w:val="24"/>
              </w:rPr>
              <w:t>技术</w:t>
            </w:r>
          </w:p>
          <w:p>
            <w:pPr>
              <w:jc w:val="center"/>
              <w:rPr>
                <w:rFonts w:ascii="仿宋_GB2312" w:eastAsia="仿宋_GB2312"/>
                <w:b/>
                <w:bCs/>
                <w:sz w:val="24"/>
                <w:szCs w:val="24"/>
              </w:rPr>
            </w:pPr>
            <w:r>
              <w:rPr>
                <w:rFonts w:ascii="仿宋_GB2312" w:eastAsia="仿宋_GB2312" w:hint="eastAsia"/>
                <w:b/>
                <w:bCs/>
                <w:sz w:val="24"/>
                <w:szCs w:val="24"/>
              </w:rPr>
              <w:t>资料</w:t>
            </w:r>
          </w:p>
        </w:tc>
        <w:tc>
          <w:tcPr>
            <w:tcW w:w="1920" w:type="dxa"/>
            <w:tcBorders>
              <w:right w:val="single" w:sz="4" w:space="0" w:color="auto"/>
            </w:tcBorders>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设计类</w:t>
            </w:r>
          </w:p>
        </w:tc>
        <w:tc>
          <w:tcPr>
            <w:tcW w:w="7275" w:type="dxa"/>
            <w:gridSpan w:val="4"/>
            <w:tcBorders>
              <w:left w:val="single" w:sz="4" w:space="0" w:color="auto"/>
            </w:tcBorders>
            <w:vAlign w:val="center"/>
          </w:tcPr>
          <w:p>
            <w:pPr>
              <w:pStyle w:val="16"/>
              <w:jc w:val="both"/>
              <w:rPr>
                <w:rFonts w:ascii="仿宋_GB2312" w:eastAsia="仿宋_GB2312" w:cs="Times New Roman"/>
                <w:color w:val="auto"/>
              </w:rPr>
            </w:pPr>
            <w:r>
              <w:rPr>
                <w:rFonts w:ascii="仿宋_GB2312" w:eastAsia="仿宋_GB2312" w:cs="Times New Roman" w:hint="eastAsia"/>
                <w:color w:val="auto"/>
              </w:rPr>
              <w:t>□完整□不完整□没有</w:t>
            </w:r>
          </w:p>
        </w:tc>
      </w:tr>
      <w:tr>
        <w:trPr>
          <w:trHeight w:val="533"/>
        </w:trPr>
        <w:tc>
          <w:tcPr>
            <w:tcW w:w="429" w:type="dxa"/>
            <w:vMerge/>
            <w:vAlign w:val="center"/>
          </w:tcPr>
          <w:p/>
        </w:tc>
        <w:tc>
          <w:tcPr>
            <w:tcW w:w="1920" w:type="dxa"/>
            <w:tcBorders>
              <w:right w:val="single" w:sz="4" w:space="0" w:color="auto"/>
            </w:tcBorders>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施工类</w:t>
            </w:r>
          </w:p>
        </w:tc>
        <w:tc>
          <w:tcPr>
            <w:tcW w:w="7275" w:type="dxa"/>
            <w:gridSpan w:val="4"/>
            <w:tcBorders>
              <w:left w:val="single" w:sz="4" w:space="0" w:color="auto"/>
            </w:tcBorders>
            <w:vAlign w:val="center"/>
          </w:tcPr>
          <w:p>
            <w:pPr>
              <w:pStyle w:val="16"/>
              <w:jc w:val="both"/>
              <w:rPr>
                <w:rFonts w:ascii="仿宋_GB2312" w:eastAsia="仿宋_GB2312" w:cs="Times New Roman"/>
                <w:color w:val="auto"/>
              </w:rPr>
            </w:pPr>
            <w:r>
              <w:rPr>
                <w:rFonts w:ascii="仿宋_GB2312" w:eastAsia="仿宋_GB2312" w:cs="Times New Roman" w:hint="eastAsia"/>
                <w:color w:val="auto"/>
              </w:rPr>
              <w:t>□完整□不完整□没有</w:t>
            </w:r>
          </w:p>
        </w:tc>
      </w:tr>
      <w:tr>
        <w:trPr>
          <w:trHeight w:val="533"/>
        </w:trPr>
        <w:tc>
          <w:tcPr>
            <w:tcW w:w="429" w:type="dxa"/>
            <w:vMerge/>
            <w:vAlign w:val="center"/>
          </w:tcPr>
          <w:p/>
        </w:tc>
        <w:tc>
          <w:tcPr>
            <w:tcW w:w="1920" w:type="dxa"/>
            <w:tcBorders>
              <w:bottom w:val="single" w:sz="4" w:space="0" w:color="auto"/>
              <w:right w:val="single" w:sz="4" w:space="0" w:color="auto"/>
            </w:tcBorders>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验收类</w:t>
            </w:r>
          </w:p>
        </w:tc>
        <w:tc>
          <w:tcPr>
            <w:tcW w:w="7275" w:type="dxa"/>
            <w:gridSpan w:val="4"/>
            <w:tcBorders>
              <w:left w:val="single" w:sz="4" w:space="0" w:color="auto"/>
              <w:bottom w:val="single" w:sz="4" w:space="0" w:color="auto"/>
            </w:tcBorders>
            <w:vAlign w:val="center"/>
          </w:tcPr>
          <w:p>
            <w:pPr>
              <w:pStyle w:val="16"/>
              <w:jc w:val="both"/>
              <w:rPr>
                <w:rFonts w:ascii="仿宋_GB2312" w:eastAsia="仿宋_GB2312" w:cs="Times New Roman"/>
                <w:color w:val="auto"/>
              </w:rPr>
            </w:pPr>
            <w:r>
              <w:rPr>
                <w:rFonts w:ascii="仿宋_GB2312" w:eastAsia="仿宋_GB2312" w:cs="Times New Roman" w:hint="eastAsia"/>
                <w:color w:val="auto"/>
              </w:rPr>
              <w:t>□完整□不完整□没有</w:t>
            </w:r>
          </w:p>
        </w:tc>
      </w:tr>
      <w:tr>
        <w:trPr>
          <w:trHeight w:val="533"/>
        </w:trPr>
        <w:tc>
          <w:tcPr>
            <w:tcW w:w="429" w:type="dxa"/>
            <w:vMerge/>
            <w:vAlign w:val="center"/>
          </w:tcPr>
          <w:p/>
        </w:tc>
        <w:tc>
          <w:tcPr>
            <w:tcW w:w="1920" w:type="dxa"/>
            <w:tcBorders>
              <w:top w:val="single" w:sz="4" w:space="0" w:color="auto"/>
              <w:bottom w:val="single" w:sz="4" w:space="0" w:color="auto"/>
              <w:right w:val="single" w:sz="4" w:space="0" w:color="auto"/>
            </w:tcBorders>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维护管理</w:t>
            </w:r>
          </w:p>
        </w:tc>
        <w:tc>
          <w:tcPr>
            <w:tcW w:w="7275" w:type="dxa"/>
            <w:gridSpan w:val="4"/>
            <w:tcBorders>
              <w:top w:val="single" w:sz="4" w:space="0" w:color="auto"/>
              <w:left w:val="single" w:sz="4" w:space="0" w:color="auto"/>
              <w:bottom w:val="single" w:sz="4" w:space="0" w:color="auto"/>
            </w:tcBorders>
            <w:vAlign w:val="center"/>
          </w:tcPr>
          <w:p>
            <w:pPr>
              <w:pStyle w:val="16"/>
              <w:jc w:val="both"/>
              <w:rPr>
                <w:rFonts w:ascii="仿宋_GB2312" w:eastAsia="仿宋_GB2312" w:cs="Times New Roman"/>
                <w:color w:val="auto"/>
              </w:rPr>
            </w:pPr>
            <w:r>
              <w:rPr>
                <w:rFonts w:ascii="仿宋_GB2312" w:eastAsia="仿宋_GB2312" w:cs="Times New Roman" w:hint="eastAsia"/>
                <w:color w:val="auto"/>
              </w:rPr>
              <w:t>□完整□不完整□没有</w:t>
            </w:r>
          </w:p>
        </w:tc>
      </w:tr>
      <w:tr>
        <w:trPr>
          <w:trHeight w:val="533"/>
        </w:trPr>
        <w:tc>
          <w:tcPr>
            <w:tcW w:w="429" w:type="dxa"/>
            <w:vMerge/>
            <w:vAlign w:val="center"/>
          </w:tcPr>
          <w:p/>
        </w:tc>
        <w:tc>
          <w:tcPr>
            <w:tcW w:w="1920" w:type="dxa"/>
            <w:tcBorders>
              <w:top w:val="single" w:sz="4" w:space="0" w:color="auto"/>
              <w:bottom w:val="single" w:sz="4" w:space="0" w:color="auto"/>
              <w:right w:val="single" w:sz="4" w:space="0" w:color="auto"/>
            </w:tcBorders>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其它资料</w:t>
            </w:r>
          </w:p>
        </w:tc>
        <w:tc>
          <w:tcPr>
            <w:tcW w:w="7275" w:type="dxa"/>
            <w:gridSpan w:val="4"/>
            <w:tcBorders>
              <w:top w:val="single" w:sz="4" w:space="0" w:color="auto"/>
              <w:left w:val="single" w:sz="4" w:space="0" w:color="auto"/>
              <w:bottom w:val="single" w:sz="4" w:space="0" w:color="auto"/>
            </w:tcBorders>
            <w:vAlign w:val="center"/>
          </w:tcPr>
          <w:p>
            <w:pPr>
              <w:pStyle w:val="16"/>
              <w:jc w:val="both"/>
              <w:rPr>
                <w:rFonts w:ascii="仿宋_GB2312" w:eastAsia="仿宋_GB2312" w:cs="Times New Roman"/>
                <w:color w:val="auto"/>
              </w:rPr>
            </w:pPr>
            <w:r>
              <w:rPr>
                <w:rFonts w:ascii="仿宋_GB2312" w:eastAsia="仿宋_GB2312" w:cs="Times New Roman" w:hint="eastAsia"/>
                <w:color w:val="auto"/>
              </w:rPr>
              <w:t>□完整□不完整□没有</w:t>
            </w:r>
          </w:p>
        </w:tc>
      </w:tr>
      <w:tr>
        <w:trPr>
          <w:trHeight w:val="533"/>
        </w:trPr>
        <w:tc>
          <w:tcPr>
            <w:tcW w:w="9624" w:type="dxa"/>
            <w:gridSpan w:val="6"/>
            <w:vAlign w:val="center"/>
          </w:tcPr>
          <w:p>
            <w:pPr>
              <w:pStyle w:val="16"/>
              <w:jc w:val="both"/>
              <w:rPr>
                <w:rFonts w:ascii="仿宋_GB2312" w:eastAsia="仿宋_GB2312" w:cs="Times New Roman"/>
                <w:color w:val="auto"/>
              </w:rPr>
            </w:pPr>
            <w:r>
              <w:rPr>
                <w:rFonts w:ascii="仿宋_GB2312" w:eastAsia="仿宋_GB2312" w:hAnsi="Times New Roman" w:hint="eastAsia"/>
                <w:b/>
                <w:bCs/>
                <w:color w:val="auto"/>
              </w:rPr>
              <w:t>备注</w:t>
            </w:r>
          </w:p>
        </w:tc>
      </w:tr>
      <w:tr>
        <w:trPr>
          <w:trHeight w:val="533"/>
        </w:trPr>
        <w:tc>
          <w:tcPr>
            <w:tcW w:w="2349" w:type="dxa"/>
            <w:gridSpan w:val="2"/>
            <w:tcBorders>
              <w:right w:val="single" w:sz="4" w:space="0" w:color="auto"/>
            </w:tcBorders>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检查单位</w:t>
            </w:r>
          </w:p>
        </w:tc>
        <w:tc>
          <w:tcPr>
            <w:tcW w:w="7275" w:type="dxa"/>
            <w:gridSpan w:val="4"/>
            <w:tcBorders>
              <w:top w:val="single" w:sz="4" w:space="0" w:color="auto"/>
              <w:left w:val="single" w:sz="4" w:space="0" w:color="auto"/>
              <w:bottom w:val="single" w:sz="4" w:space="0" w:color="auto"/>
            </w:tcBorders>
            <w:vAlign w:val="center"/>
          </w:tcPr>
          <w:p>
            <w:pPr>
              <w:pStyle w:val="16"/>
              <w:jc w:val="both"/>
              <w:rPr>
                <w:rFonts w:ascii="仿宋_GB2312" w:eastAsia="仿宋_GB2312" w:cs="Times New Roman"/>
                <w:color w:val="auto"/>
              </w:rPr>
            </w:pPr>
          </w:p>
        </w:tc>
      </w:tr>
      <w:tr>
        <w:trPr>
          <w:trHeight w:val="533"/>
        </w:trPr>
        <w:tc>
          <w:tcPr>
            <w:tcW w:w="2349" w:type="dxa"/>
            <w:gridSpan w:val="2"/>
            <w:tcBorders>
              <w:bottom w:val="single" w:sz="4" w:space="0" w:color="auto"/>
              <w:right w:val="single" w:sz="4" w:space="0" w:color="auto"/>
            </w:tcBorders>
            <w:vAlign w:val="center"/>
          </w:tcPr>
          <w:p>
            <w:pPr>
              <w:pStyle w:val="16"/>
              <w:spacing w:line="360" w:lineRule="auto"/>
              <w:jc w:val="center"/>
              <w:rPr>
                <w:rFonts w:ascii="仿宋_GB2312" w:eastAsia="仿宋_GB2312" w:cs="Times New Roman"/>
                <w:color w:val="auto"/>
              </w:rPr>
            </w:pPr>
            <w:r>
              <w:rPr>
                <w:rFonts w:ascii="仿宋_GB2312" w:eastAsia="仿宋_GB2312" w:cs="Times New Roman" w:hint="eastAsia"/>
                <w:color w:val="auto"/>
              </w:rPr>
              <w:t>检查人</w:t>
            </w:r>
          </w:p>
        </w:tc>
        <w:tc>
          <w:tcPr>
            <w:tcW w:w="7275" w:type="dxa"/>
            <w:gridSpan w:val="4"/>
            <w:tcBorders>
              <w:top w:val="single" w:sz="4" w:space="0" w:color="auto"/>
              <w:left w:val="single" w:sz="4" w:space="0" w:color="auto"/>
              <w:bottom w:val="single" w:sz="4" w:space="0" w:color="auto"/>
            </w:tcBorders>
            <w:vAlign w:val="center"/>
          </w:tcPr>
          <w:p>
            <w:pPr>
              <w:pStyle w:val="16"/>
              <w:jc w:val="both"/>
              <w:rPr>
                <w:rFonts w:ascii="仿宋_GB2312" w:eastAsia="仿宋_GB2312" w:cs="Times New Roman"/>
                <w:color w:val="auto"/>
              </w:rPr>
            </w:pPr>
          </w:p>
        </w:tc>
      </w:tr>
    </w:tbl>
    <w:p>
      <w:pPr>
        <w:rPr>
          <w:rFonts w:ascii="新宋体" w:eastAsia="新宋体" w:hAnsi="新宋体"/>
          <w:b/>
          <w:sz w:val="28"/>
          <w:szCs w:val="28"/>
        </w:rPr>
      </w:pPr>
      <w:r>
        <w:rPr>
          <w:rFonts w:ascii="仿宋" w:eastAsia="仿宋" w:hAnsi="仿宋" w:hint="eastAsia"/>
          <w:sz w:val="24"/>
          <w:szCs w:val="24"/>
        </w:rPr>
        <w:t>监督单位：区街道：社区：</w:t>
      </w:r>
    </w:p>
    <w:p>
      <w:pPr>
        <w:jc w:val="left"/>
        <w:rPr>
          <w:rFonts w:ascii="仿宋" w:eastAsia="仿宋" w:hAnsi="仿宋"/>
          <w:sz w:val="24"/>
          <w:szCs w:val="24"/>
        </w:rPr>
      </w:pPr>
    </w:p>
    <w:p>
      <w:pPr>
        <w:jc w:val="center"/>
        <w:rPr>
          <w:rFonts w:ascii="新宋体" w:eastAsia="新宋体" w:hAnsi="新宋体"/>
          <w:b/>
          <w:sz w:val="28"/>
          <w:szCs w:val="28"/>
        </w:rPr>
      </w:pPr>
      <w:r>
        <w:rPr>
          <w:rFonts w:ascii="新宋体" w:eastAsia="新宋体" w:hAnsi="新宋体" w:hint="eastAsia"/>
          <w:b/>
          <w:sz w:val="28"/>
          <w:szCs w:val="28"/>
        </w:rPr>
        <w:t>表</w:t>
      </w:r>
      <w:r>
        <w:rPr>
          <w:rFonts w:ascii="新宋体" w:eastAsia="新宋体" w:hAnsi="新宋体"/>
          <w:b/>
          <w:sz w:val="28"/>
          <w:szCs w:val="28"/>
        </w:rPr>
        <w:t>2.2</w:t>
      </w:r>
      <w:r>
        <w:rPr>
          <w:rFonts w:ascii="新宋体" w:eastAsia="新宋体" w:hAnsi="新宋体" w:hint="eastAsia"/>
          <w:b/>
          <w:sz w:val="28"/>
          <w:szCs w:val="28"/>
        </w:rPr>
        <w:t>玻璃幕墙安全检查表</w:t>
      </w:r>
    </w:p>
    <w:tbl>
      <w:tblPr>
        <w:jc w:val="left"/>
        <w:tblInd w:w="-318" w:type="dxa"/>
        <w:tblW w:w="10167"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994"/>
        <w:gridCol w:w="699"/>
        <w:gridCol w:w="128"/>
        <w:gridCol w:w="1511"/>
        <w:gridCol w:w="805"/>
        <w:gridCol w:w="1109"/>
        <w:gridCol w:w="1417"/>
        <w:gridCol w:w="362"/>
        <w:gridCol w:w="402"/>
        <w:gridCol w:w="615"/>
        <w:gridCol w:w="85"/>
        <w:gridCol w:w="750"/>
        <w:gridCol w:w="360"/>
        <w:gridCol w:w="930"/>
      </w:tblGrid>
      <w:tr>
        <w:trPr>
          <w:trHeight w:hRule="exact" w:val="462"/>
        </w:trPr>
        <w:tc>
          <w:tcPr>
            <w:tcW w:w="1821" w:type="dxa"/>
            <w:gridSpan w:val="3"/>
            <w:tcBorders>
              <w:top w:val="single" w:sz="12"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建筑名称</w:t>
            </w:r>
          </w:p>
        </w:tc>
        <w:tc>
          <w:tcPr>
            <w:tcW w:w="3425" w:type="dxa"/>
            <w:gridSpan w:val="3"/>
            <w:tcBorders>
              <w:top w:val="single" w:sz="12" w:space="0" w:color="000000"/>
            </w:tcBorders>
            <w:vAlign w:val="center"/>
          </w:tcPr>
          <w:p>
            <w:pPr>
              <w:pStyle w:val="16"/>
              <w:spacing w:line="270" w:lineRule="exact"/>
              <w:jc w:val="center"/>
              <w:rPr>
                <w:rFonts w:ascii="仿宋" w:eastAsia="仿宋" w:cs="Times New Roman" w:hAnsi="仿宋"/>
                <w:color w:val="auto"/>
              </w:rPr>
            </w:pPr>
          </w:p>
        </w:tc>
        <w:tc>
          <w:tcPr>
            <w:tcW w:w="1417" w:type="dxa"/>
            <w:tcBorders>
              <w:top w:val="single" w:sz="12"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检查日期</w:t>
            </w:r>
          </w:p>
        </w:tc>
        <w:tc>
          <w:tcPr>
            <w:tcW w:w="1379" w:type="dxa"/>
            <w:gridSpan w:val="3"/>
            <w:tcBorders>
              <w:top w:val="single" w:sz="12" w:space="0" w:color="000000"/>
            </w:tcBorders>
            <w:vAlign w:val="center"/>
          </w:tcPr>
          <w:p>
            <w:pPr>
              <w:pStyle w:val="16"/>
              <w:spacing w:line="270" w:lineRule="exact"/>
              <w:jc w:val="center"/>
              <w:rPr>
                <w:rFonts w:ascii="仿宋" w:eastAsia="仿宋" w:cs="Times New Roman" w:hAnsi="仿宋"/>
                <w:color w:val="auto"/>
              </w:rPr>
            </w:pPr>
          </w:p>
        </w:tc>
        <w:tc>
          <w:tcPr>
            <w:tcW w:w="1195" w:type="dxa"/>
            <w:gridSpan w:val="3"/>
            <w:tcBorders>
              <w:top w:val="single" w:sz="12"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使用年限</w:t>
            </w:r>
          </w:p>
        </w:tc>
        <w:tc>
          <w:tcPr>
            <w:tcW w:w="930" w:type="dxa"/>
            <w:tcBorders>
              <w:top w:val="single" w:sz="12" w:space="0" w:color="000000"/>
            </w:tcBorders>
            <w:vAlign w:val="center"/>
          </w:tcPr>
          <w:p>
            <w:pPr>
              <w:pStyle w:val="16"/>
              <w:spacing w:line="270" w:lineRule="exact"/>
              <w:jc w:val="center"/>
              <w:rPr>
                <w:rFonts w:ascii="仿宋" w:eastAsia="仿宋" w:cs="Times New Roman" w:hAnsi="仿宋"/>
                <w:color w:val="auto"/>
              </w:rPr>
            </w:pPr>
          </w:p>
        </w:tc>
      </w:tr>
      <w:tr>
        <w:trPr>
          <w:trHeight w:hRule="exact" w:val="387"/>
        </w:trPr>
        <w:tc>
          <w:tcPr>
            <w:tcW w:w="1821" w:type="dxa"/>
            <w:gridSpan w:val="3"/>
            <w:vMerge w:val="restart"/>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幕墙类型</w:t>
            </w:r>
          </w:p>
        </w:tc>
        <w:tc>
          <w:tcPr>
            <w:tcW w:w="1511" w:type="dxa"/>
            <w:vMerge w:val="restart"/>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玻璃幕墙</w:t>
            </w:r>
          </w:p>
        </w:tc>
        <w:tc>
          <w:tcPr>
            <w:tcW w:w="805"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型式</w:t>
            </w:r>
          </w:p>
        </w:tc>
        <w:tc>
          <w:tcPr>
            <w:tcW w:w="6030" w:type="dxa"/>
            <w:gridSpan w:val="9"/>
            <w:vAlign w:val="center"/>
          </w:tcPr>
          <w:p>
            <w:pPr>
              <w:pStyle w:val="16"/>
              <w:spacing w:line="270" w:lineRule="exact"/>
              <w:rPr>
                <w:rFonts w:ascii="仿宋" w:eastAsia="仿宋" w:cs="Times New Roman" w:hAnsi="仿宋"/>
                <w:color w:val="auto"/>
              </w:rPr>
            </w:pPr>
            <w:r>
              <w:rPr>
                <w:rFonts w:ascii="仿宋" w:eastAsia="仿宋" w:cs="Times New Roman" w:hAnsi="仿宋" w:hint="eastAsia"/>
                <w:color w:val="auto"/>
              </w:rPr>
              <w:t>□隐框□半隐框□单元式□点支式□全玻</w:t>
            </w:r>
          </w:p>
        </w:tc>
      </w:tr>
      <w:tr>
        <w:trPr>
          <w:trHeight w:hRule="exact" w:val="372"/>
        </w:trPr>
        <w:tc>
          <w:tcPr>
            <w:tcW w:w="1821" w:type="dxa"/>
            <w:gridSpan w:val="3"/>
            <w:vMerge/>
            <w:vAlign w:val="center"/>
          </w:tcPr>
          <w:p/>
        </w:tc>
        <w:tc>
          <w:tcPr>
            <w:tcW w:w="1511" w:type="dxa"/>
            <w:vMerge/>
            <w:tcBorders>
              <w:top w:val="single" w:sz="6" w:space="0" w:color="000000"/>
              <w:left w:val="single" w:sz="6" w:space="0" w:color="000000"/>
              <w:right w:val="single" w:sz="6" w:space="0" w:color="000000"/>
            </w:tcBorders>
            <w:vAlign w:val="center"/>
          </w:tcPr>
          <w:p/>
        </w:tc>
        <w:tc>
          <w:tcPr>
            <w:tcW w:w="805"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构造</w:t>
            </w:r>
          </w:p>
        </w:tc>
        <w:tc>
          <w:tcPr>
            <w:tcW w:w="6030" w:type="dxa"/>
            <w:gridSpan w:val="9"/>
            <w:vAlign w:val="center"/>
          </w:tcPr>
          <w:p>
            <w:pPr>
              <w:pStyle w:val="16"/>
              <w:spacing w:line="270" w:lineRule="exact"/>
              <w:rPr>
                <w:rFonts w:ascii="仿宋" w:eastAsia="仿宋" w:cs="Times New Roman" w:hAnsi="仿宋"/>
                <w:color w:val="auto"/>
              </w:rPr>
            </w:pPr>
            <w:r>
              <w:rPr>
                <w:rFonts w:ascii="仿宋" w:eastAsia="仿宋" w:cs="Times New Roman" w:hAnsi="仿宋" w:hint="eastAsia"/>
                <w:color w:val="auto"/>
              </w:rPr>
              <w:t>□有硅酮结构胶粘接装配□索杆张拉□桁架□吊挂</w:t>
            </w:r>
          </w:p>
        </w:tc>
      </w:tr>
      <w:tr>
        <w:trPr>
          <w:trHeight w:val="301"/>
        </w:trPr>
        <w:tc>
          <w:tcPr>
            <w:tcW w:w="994" w:type="dxa"/>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项目</w:t>
            </w:r>
          </w:p>
        </w:tc>
        <w:tc>
          <w:tcPr>
            <w:tcW w:w="6433" w:type="dxa"/>
            <w:gridSpan w:val="8"/>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安全隐患</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立面</w:t>
            </w: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数量</w:t>
            </w:r>
          </w:p>
        </w:tc>
        <w:tc>
          <w:tcPr>
            <w:tcW w:w="1290" w:type="dxa"/>
            <w:gridSpan w:val="2"/>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照片编号</w:t>
            </w:r>
          </w:p>
        </w:tc>
      </w:tr>
      <w:tr>
        <w:trPr>
          <w:trHeight w:val="90"/>
        </w:trPr>
        <w:tc>
          <w:tcPr>
            <w:tcW w:w="994" w:type="dxa"/>
            <w:vMerge w:val="restart"/>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幕墙</w:t>
            </w:r>
          </w:p>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面板</w:t>
            </w: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面板是非安全玻璃</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259"/>
        </w:trPr>
        <w:tc>
          <w:tcPr>
            <w:tcW w:w="994" w:type="dxa"/>
            <w:vMerge/>
            <w:vAlign w:val="center"/>
          </w:tcP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面板有破碎、破裂、缺损、坠落</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229"/>
        </w:trPr>
        <w:tc>
          <w:tcPr>
            <w:tcW w:w="994" w:type="dxa"/>
            <w:vMerge/>
            <w:vAlign w:val="center"/>
          </w:tcP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中空玻璃有起雾、结露、霉变、丁基胶出现流油</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214"/>
        </w:trPr>
        <w:tc>
          <w:tcPr>
            <w:tcW w:w="994" w:type="dxa"/>
            <w:vMerge/>
            <w:vAlign w:val="center"/>
          </w:tcP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4.</w:t>
            </w:r>
            <w:r>
              <w:rPr>
                <w:rFonts w:ascii="仿宋" w:eastAsia="仿宋" w:hAnsi="仿宋" w:hint="eastAsia"/>
                <w:sz w:val="24"/>
                <w:szCs w:val="24"/>
              </w:rPr>
              <w:t>夹层玻璃有分层、起泡、脱胶</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184"/>
        </w:trPr>
        <w:tc>
          <w:tcPr>
            <w:tcW w:w="994" w:type="dxa"/>
            <w:vMerge w:val="restart"/>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室外</w:t>
            </w:r>
          </w:p>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装饰</w:t>
            </w:r>
          </w:p>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构件</w:t>
            </w: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脆性构件有破碎、破裂等</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124"/>
        </w:trPr>
        <w:tc>
          <w:tcPr>
            <w:tcW w:w="994" w:type="dxa"/>
            <w:vMerge/>
            <w:vAlign w:val="center"/>
          </w:tcP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构件有松动、松脱、裂纹等</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199"/>
        </w:trPr>
        <w:tc>
          <w:tcPr>
            <w:tcW w:w="994" w:type="dxa"/>
            <w:vMerge/>
            <w:vAlign w:val="center"/>
          </w:tcP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构件有不正常挤压、错位或变形现象</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315"/>
        </w:trPr>
        <w:tc>
          <w:tcPr>
            <w:tcW w:w="994" w:type="dxa"/>
            <w:vMerge w:val="restart"/>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开启窗</w:t>
            </w: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合页（铰链）、滑撑、撑挡、执手、锁点、锁座等五金配件有损坏、松脱或缺失</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184"/>
        </w:trPr>
        <w:tc>
          <w:tcPr>
            <w:tcW w:w="994" w:type="dxa"/>
            <w:vMerge/>
            <w:vAlign w:val="center"/>
          </w:tcP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固定开启窗五金配件的螺钉有损坏、缺失或严重锈蚀</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139"/>
        </w:trPr>
        <w:tc>
          <w:tcPr>
            <w:tcW w:w="994" w:type="dxa"/>
            <w:vMerge/>
            <w:vAlign w:val="center"/>
          </w:tcP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开启窗启闭受阻、明显下坠或变形</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304"/>
        </w:trPr>
        <w:tc>
          <w:tcPr>
            <w:tcW w:w="994" w:type="dxa"/>
            <w:vMerge/>
            <w:vAlign w:val="center"/>
          </w:tcP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4.</w:t>
            </w:r>
            <w:r>
              <w:rPr>
                <w:rFonts w:ascii="仿宋" w:eastAsia="仿宋" w:hAnsi="仿宋" w:hint="eastAsia"/>
                <w:sz w:val="24"/>
                <w:szCs w:val="24"/>
              </w:rPr>
              <w:t>外开开启窗中空玻璃下部未设托架</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214"/>
        </w:trPr>
        <w:tc>
          <w:tcPr>
            <w:tcW w:w="994" w:type="dxa"/>
            <w:vMerge w:val="restart"/>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受力</w:t>
            </w:r>
          </w:p>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构件</w:t>
            </w: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埋件连接松动、位移、脱落、开焊或严重锈蚀；</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454"/>
        </w:trPr>
        <w:tc>
          <w:tcPr>
            <w:tcW w:w="994" w:type="dxa"/>
            <w:vMerge/>
            <w:vAlign w:val="center"/>
          </w:tcP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与主体结构连接组件有损坏，松动、缺失或严重锈蚀</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124"/>
        </w:trPr>
        <w:tc>
          <w:tcPr>
            <w:tcW w:w="994" w:type="dxa"/>
            <w:vMerge/>
            <w:vAlign w:val="center"/>
          </w:tcP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立柱、横梁连接松动、变形或严重锈蚀</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90"/>
        </w:trPr>
        <w:tc>
          <w:tcPr>
            <w:tcW w:w="994" w:type="dxa"/>
            <w:vMerge/>
            <w:vAlign w:val="center"/>
          </w:tcP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4.</w:t>
            </w:r>
            <w:r>
              <w:rPr>
                <w:rFonts w:ascii="仿宋" w:eastAsia="仿宋" w:hAnsi="仿宋" w:hint="eastAsia"/>
                <w:sz w:val="24"/>
                <w:szCs w:val="24"/>
              </w:rPr>
              <w:t>玻璃肋有明显裂纹、损伤</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199"/>
        </w:trPr>
        <w:tc>
          <w:tcPr>
            <w:tcW w:w="994" w:type="dxa"/>
            <w:vMerge/>
            <w:vAlign w:val="center"/>
          </w:tcP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5.</w:t>
            </w:r>
            <w:r>
              <w:rPr>
                <w:rFonts w:ascii="仿宋" w:eastAsia="仿宋" w:hAnsi="仿宋" w:hint="eastAsia"/>
                <w:sz w:val="24"/>
                <w:szCs w:val="24"/>
              </w:rPr>
              <w:t>点支承驳接头、驳接爪明显变形、松动</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90"/>
        </w:trPr>
        <w:tc>
          <w:tcPr>
            <w:tcW w:w="994" w:type="dxa"/>
            <w:vMerge/>
            <w:vAlign w:val="center"/>
          </w:tcP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6.</w:t>
            </w:r>
            <w:r>
              <w:rPr>
                <w:rFonts w:ascii="仿宋" w:eastAsia="仿宋" w:hAnsi="仿宋" w:hint="eastAsia"/>
                <w:sz w:val="24"/>
                <w:szCs w:val="24"/>
              </w:rPr>
              <w:t>应力索松弛、杆明显变形，钢绞线有断丝、锈蚀</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304"/>
        </w:trPr>
        <w:tc>
          <w:tcPr>
            <w:tcW w:w="994" w:type="dxa"/>
            <w:vMerge w:val="restart"/>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雨水</w:t>
            </w:r>
          </w:p>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渗漏</w:t>
            </w: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幕墙室内侧有严重渗漏</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214"/>
        </w:trPr>
        <w:tc>
          <w:tcPr>
            <w:tcW w:w="994" w:type="dxa"/>
            <w:vMerge/>
            <w:vAlign w:val="center"/>
          </w:tcP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开启窗闭合不紧密、下雨时会连续渗漏</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259"/>
        </w:trPr>
        <w:tc>
          <w:tcPr>
            <w:tcW w:w="994" w:type="dxa"/>
            <w:vMerge/>
            <w:vAlign w:val="center"/>
          </w:tcP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密封胶有硬化、起泡、脱胶、开裂等</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244"/>
        </w:trPr>
        <w:tc>
          <w:tcPr>
            <w:tcW w:w="994" w:type="dxa"/>
            <w:vMerge w:val="restart"/>
            <w:vAlign w:val="center"/>
          </w:tcPr>
          <w:p>
            <w:pPr>
              <w:jc w:val="center"/>
              <w:rPr>
                <w:rFonts w:ascii="仿宋" w:eastAsia="仿宋" w:hAnsi="仿宋"/>
                <w:sz w:val="24"/>
                <w:szCs w:val="24"/>
              </w:rPr>
            </w:pPr>
            <w:r>
              <w:rPr>
                <w:rFonts w:ascii="仿宋" w:eastAsia="仿宋" w:hAnsi="仿宋" w:hint="eastAsia"/>
                <w:sz w:val="24"/>
                <w:szCs w:val="24"/>
              </w:rPr>
              <w:t>拆改</w:t>
            </w:r>
          </w:p>
          <w:p>
            <w:pPr>
              <w:pStyle w:val="16"/>
              <w:spacing w:line="270" w:lineRule="exact"/>
              <w:jc w:val="center"/>
              <w:rPr>
                <w:rFonts w:ascii="仿宋" w:eastAsia="仿宋" w:cs="Times New Roman" w:hAnsi="仿宋"/>
                <w:color w:val="auto"/>
              </w:rPr>
            </w:pPr>
            <w:r>
              <w:rPr>
                <w:rFonts w:ascii="仿宋" w:eastAsia="仿宋" w:hAnsi="仿宋" w:hint="eastAsia"/>
                <w:color w:val="auto"/>
              </w:rPr>
              <w:t>部位</w:t>
            </w: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受力构件、连接构造、窗扇被拆卸、更改等现象</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139"/>
        </w:trPr>
        <w:tc>
          <w:tcPr>
            <w:tcW w:w="994" w:type="dxa"/>
            <w:vMerge/>
            <w:vAlign w:val="center"/>
          </w:tcP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防火封堵和防雷连接被拆卸、更改等现象</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169"/>
        </w:trPr>
        <w:tc>
          <w:tcPr>
            <w:tcW w:w="994" w:type="dxa"/>
            <w:vMerge/>
            <w:vAlign w:val="center"/>
          </w:tcP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室内吊顶、隔墙等直接固定在幕墙受力构件上</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90"/>
        </w:trPr>
        <w:tc>
          <w:tcPr>
            <w:tcW w:w="994" w:type="dxa"/>
            <w:vMerge/>
            <w:vAlign w:val="center"/>
          </w:tcPr>
          <w:p/>
        </w:tc>
        <w:tc>
          <w:tcPr>
            <w:tcW w:w="6031" w:type="dxa"/>
            <w:gridSpan w:val="7"/>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4.</w:t>
            </w:r>
            <w:r>
              <w:rPr>
                <w:rFonts w:ascii="仿宋" w:eastAsia="仿宋" w:hAnsi="仿宋" w:hint="eastAsia"/>
                <w:sz w:val="24"/>
                <w:szCs w:val="24"/>
              </w:rPr>
              <w:t>擅自在幕墙上设置霓虹灯、招牌及广告等设施</w:t>
            </w:r>
          </w:p>
        </w:tc>
        <w:tc>
          <w:tcPr>
            <w:tcW w:w="402"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w:t>
            </w:r>
          </w:p>
        </w:tc>
        <w:tc>
          <w:tcPr>
            <w:tcW w:w="700" w:type="dxa"/>
            <w:gridSpan w:val="2"/>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750" w:type="dxa"/>
            <w:tcBorders>
              <w:top w:val="single" w:sz="6" w:space="0" w:color="000000"/>
              <w:left w:val="single" w:sz="6" w:space="0" w:color="000000"/>
              <w:right w:val="single" w:sz="6" w:space="0" w:color="000000"/>
            </w:tcBorders>
            <w:vAlign w:val="center"/>
          </w:tcPr>
          <w:p>
            <w:pPr>
              <w:pStyle w:val="16"/>
              <w:spacing w:line="270" w:lineRule="exact"/>
              <w:jc w:val="center"/>
              <w:rPr>
                <w:rFonts w:ascii="仿宋" w:eastAsia="仿宋" w:cs="Times New Roman" w:hAnsi="仿宋"/>
                <w:color w:val="auto"/>
              </w:rPr>
            </w:pPr>
          </w:p>
        </w:tc>
        <w:tc>
          <w:tcPr>
            <w:tcW w:w="1290" w:type="dxa"/>
            <w:gridSpan w:val="2"/>
            <w:vAlign w:val="center"/>
          </w:tcPr>
          <w:p>
            <w:pPr>
              <w:pStyle w:val="16"/>
              <w:spacing w:line="270" w:lineRule="exact"/>
              <w:jc w:val="center"/>
              <w:rPr>
                <w:rFonts w:ascii="仿宋" w:eastAsia="仿宋" w:cs="Times New Roman" w:hAnsi="仿宋"/>
                <w:color w:val="auto"/>
              </w:rPr>
            </w:pPr>
          </w:p>
        </w:tc>
      </w:tr>
      <w:tr>
        <w:trPr>
          <w:trHeight w:val="703"/>
        </w:trPr>
        <w:tc>
          <w:tcPr>
            <w:tcW w:w="10167" w:type="dxa"/>
            <w:gridSpan w:val="14"/>
            <w:vAlign w:val="center"/>
          </w:tcPr>
          <w:p>
            <w:pPr>
              <w:pStyle w:val="16"/>
              <w:spacing w:line="270" w:lineRule="exact"/>
              <w:rPr>
                <w:rFonts w:ascii="仿宋" w:eastAsia="仿宋" w:cs="Times New Roman" w:hAnsi="仿宋"/>
                <w:color w:val="auto"/>
              </w:rPr>
            </w:pPr>
            <w:r>
              <w:rPr>
                <w:rFonts w:ascii="仿宋" w:eastAsia="仿宋" w:cs="Times New Roman" w:hAnsi="仿宋" w:hint="eastAsia"/>
                <w:color w:val="auto"/>
              </w:rPr>
              <w:t>备注：</w:t>
            </w:r>
          </w:p>
        </w:tc>
      </w:tr>
      <w:tr>
        <w:trPr>
          <w:trHeight w:val="454"/>
        </w:trPr>
        <w:tc>
          <w:tcPr>
            <w:tcW w:w="1693" w:type="dxa"/>
            <w:gridSpan w:val="2"/>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检查结论</w:t>
            </w:r>
          </w:p>
        </w:tc>
        <w:tc>
          <w:tcPr>
            <w:tcW w:w="8474" w:type="dxa"/>
            <w:gridSpan w:val="12"/>
            <w:vAlign w:val="center"/>
          </w:tcPr>
          <w:p>
            <w:pPr>
              <w:pStyle w:val="16"/>
              <w:spacing w:line="270" w:lineRule="exact"/>
              <w:rPr>
                <w:rFonts w:ascii="仿宋" w:eastAsia="仿宋" w:cs="Times New Roman" w:hAnsi="仿宋"/>
                <w:color w:val="auto"/>
              </w:rPr>
            </w:pPr>
            <w:r>
              <w:rPr>
                <w:rFonts w:ascii="仿宋" w:eastAsia="仿宋" w:cs="Times New Roman" w:hAnsi="仿宋" w:hint="eastAsia"/>
                <w:color w:val="auto"/>
              </w:rPr>
              <w:t>□未发现明显安全隐患，加强日常维护管理。</w:t>
            </w:r>
            <w:r>
              <w:rPr>
                <w:rFonts w:ascii="仿宋" w:eastAsia="仿宋" w:cs="Times New Roman" w:hAnsi="仿宋"/>
                <w:color w:val="auto"/>
              </w:rPr>
              <w:t xml:space="preserve">.   </w:t>
            </w:r>
            <w:r>
              <w:rPr>
                <w:rFonts w:ascii="仿宋" w:eastAsia="仿宋" w:cs="Times New Roman" w:hAnsi="仿宋" w:hint="eastAsia"/>
                <w:color w:val="auto"/>
              </w:rPr>
              <w:t>□存在质量问题影响正常使用，委托专业单位进行维修或采取相应措施。□存在安全隐患，应委托专业单位进行安全性检测鉴定并采取相应措施。□幕墙存在严重安全隐患，应立即委托专业单位进行安全性检测鉴定，并立即采取解危措施，或建议拆除（停止使用）。</w:t>
            </w:r>
          </w:p>
        </w:tc>
      </w:tr>
      <w:tr>
        <w:trPr>
          <w:trHeight w:val="454"/>
        </w:trPr>
        <w:tc>
          <w:tcPr>
            <w:tcW w:w="1693" w:type="dxa"/>
            <w:gridSpan w:val="2"/>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检查单位</w:t>
            </w:r>
          </w:p>
        </w:tc>
        <w:tc>
          <w:tcPr>
            <w:tcW w:w="8474" w:type="dxa"/>
            <w:gridSpan w:val="12"/>
            <w:vAlign w:val="center"/>
          </w:tcPr>
          <w:p>
            <w:pPr>
              <w:pStyle w:val="16"/>
              <w:spacing w:line="270" w:lineRule="exact"/>
              <w:jc w:val="center"/>
              <w:rPr>
                <w:rFonts w:ascii="仿宋" w:eastAsia="仿宋" w:cs="Times New Roman" w:hAnsi="仿宋"/>
                <w:color w:val="auto"/>
              </w:rPr>
            </w:pPr>
          </w:p>
        </w:tc>
      </w:tr>
      <w:tr>
        <w:trPr>
          <w:trHeight w:val="454"/>
        </w:trPr>
        <w:tc>
          <w:tcPr>
            <w:tcW w:w="1693" w:type="dxa"/>
            <w:gridSpan w:val="2"/>
            <w:tcBorders>
              <w:bottom w:val="single" w:sz="12"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检查人</w:t>
            </w:r>
          </w:p>
        </w:tc>
        <w:tc>
          <w:tcPr>
            <w:tcW w:w="3553" w:type="dxa"/>
            <w:gridSpan w:val="4"/>
            <w:tcBorders>
              <w:bottom w:val="single" w:sz="12" w:space="0" w:color="000000"/>
            </w:tcBorders>
            <w:vAlign w:val="center"/>
          </w:tcPr>
          <w:p>
            <w:pPr>
              <w:pStyle w:val="16"/>
              <w:spacing w:line="270" w:lineRule="exact"/>
              <w:jc w:val="center"/>
              <w:rPr>
                <w:rFonts w:ascii="仿宋" w:eastAsia="仿宋" w:cs="Times New Roman" w:hAnsi="仿宋"/>
                <w:color w:val="auto"/>
              </w:rPr>
            </w:pPr>
          </w:p>
        </w:tc>
        <w:tc>
          <w:tcPr>
            <w:tcW w:w="1779" w:type="dxa"/>
            <w:gridSpan w:val="2"/>
            <w:tcBorders>
              <w:bottom w:val="single" w:sz="12" w:space="0" w:color="000000"/>
            </w:tcBorders>
            <w:vAlign w:val="center"/>
          </w:tcPr>
          <w:p>
            <w:pPr>
              <w:pStyle w:val="16"/>
              <w:spacing w:line="270" w:lineRule="exact"/>
              <w:jc w:val="center"/>
              <w:rPr>
                <w:rFonts w:ascii="仿宋" w:eastAsia="仿宋" w:cs="Times New Roman" w:hAnsi="仿宋"/>
                <w:color w:val="auto"/>
              </w:rPr>
            </w:pPr>
            <w:r>
              <w:rPr>
                <w:rFonts w:ascii="仿宋" w:eastAsia="仿宋" w:cs="Times New Roman" w:hAnsi="仿宋" w:hint="eastAsia"/>
                <w:color w:val="auto"/>
              </w:rPr>
              <w:t>审核人</w:t>
            </w:r>
          </w:p>
        </w:tc>
        <w:tc>
          <w:tcPr>
            <w:tcW w:w="3142" w:type="dxa"/>
            <w:gridSpan w:val="6"/>
            <w:tcBorders>
              <w:bottom w:val="single" w:sz="12" w:space="0" w:color="000000"/>
            </w:tcBorders>
            <w:vAlign w:val="center"/>
          </w:tcPr>
          <w:p>
            <w:pPr>
              <w:pStyle w:val="16"/>
              <w:spacing w:line="270" w:lineRule="exact"/>
              <w:jc w:val="center"/>
              <w:rPr>
                <w:rFonts w:ascii="仿宋" w:eastAsia="仿宋" w:cs="Times New Roman" w:hAnsi="仿宋"/>
                <w:color w:val="auto"/>
              </w:rPr>
            </w:pPr>
          </w:p>
        </w:tc>
      </w:tr>
    </w:tbl>
    <w:p>
      <w:pPr>
        <w:jc w:val="center"/>
        <w:rPr>
          <w:rFonts w:ascii="宋体"/>
          <w:b/>
        </w:rPr>
      </w:pPr>
      <w:r>
        <w:rPr>
          <w:rFonts w:ascii="仿宋" w:eastAsia="仿宋" w:hAnsi="仿宋" w:hint="eastAsia"/>
          <w:sz w:val="24"/>
          <w:szCs w:val="24"/>
        </w:rPr>
        <w:t>监督单位：区街道：社区：</w:t>
      </w:r>
      <w:r>
        <w:rPr>
          <w:rFonts w:ascii="新宋体" w:eastAsia="新宋体" w:hAnsi="新宋体"/>
          <w:b/>
          <w:sz w:val="28"/>
          <w:szCs w:val="28"/>
        </w:rPr>
        <w:br w:type="column"/>
      </w:r>
      <w:r>
        <w:rPr>
          <w:rFonts w:ascii="新宋体" w:eastAsia="新宋体" w:hAnsi="新宋体" w:hint="eastAsia"/>
          <w:b/>
          <w:sz w:val="28"/>
          <w:szCs w:val="28"/>
        </w:rPr>
        <w:t>表</w:t>
      </w:r>
      <w:r>
        <w:rPr>
          <w:rFonts w:ascii="新宋体" w:eastAsia="新宋体" w:hAnsi="新宋体"/>
          <w:b/>
          <w:sz w:val="28"/>
          <w:szCs w:val="28"/>
        </w:rPr>
        <w:t>2.3</w:t>
      </w:r>
      <w:r>
        <w:rPr>
          <w:rFonts w:ascii="新宋体" w:eastAsia="新宋体" w:hAnsi="新宋体" w:hint="eastAsia"/>
          <w:b/>
          <w:sz w:val="28"/>
          <w:szCs w:val="28"/>
        </w:rPr>
        <w:t>石材幕墙安全检查表</w:t>
      </w:r>
    </w:p>
    <w:tbl>
      <w:tblPr>
        <w:jc w:val="left"/>
        <w:tblInd w:w="0" w:type="dxa"/>
        <w:tblW w:w="933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666"/>
        <w:gridCol w:w="496"/>
        <w:gridCol w:w="198"/>
        <w:gridCol w:w="1530"/>
        <w:gridCol w:w="796"/>
        <w:gridCol w:w="533"/>
        <w:gridCol w:w="446"/>
        <w:gridCol w:w="882"/>
        <w:gridCol w:w="662"/>
        <w:gridCol w:w="531"/>
        <w:gridCol w:w="197"/>
        <w:gridCol w:w="466"/>
        <w:gridCol w:w="668"/>
        <w:gridCol w:w="1267"/>
      </w:tblGrid>
      <w:tr>
        <w:trPr>
          <w:trHeight w:val="458"/>
        </w:trPr>
        <w:tc>
          <w:tcPr>
            <w:tcW w:w="1360" w:type="dxa"/>
            <w:gridSpan w:val="3"/>
            <w:tcBorders>
              <w:top w:val="single" w:sz="12"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建筑名称</w:t>
            </w:r>
          </w:p>
        </w:tc>
        <w:tc>
          <w:tcPr>
            <w:tcW w:w="2859" w:type="dxa"/>
            <w:gridSpan w:val="3"/>
            <w:tcBorders>
              <w:top w:val="single" w:sz="12" w:space="0" w:color="000000"/>
            </w:tcBorders>
            <w:vAlign w:val="center"/>
          </w:tcPr>
          <w:p>
            <w:pPr>
              <w:pStyle w:val="16"/>
              <w:jc w:val="both"/>
              <w:rPr>
                <w:rFonts w:ascii="仿宋" w:eastAsia="仿宋" w:cs="Times New Roman" w:hAnsi="仿宋"/>
                <w:color w:val="auto"/>
              </w:rPr>
            </w:pPr>
          </w:p>
        </w:tc>
        <w:tc>
          <w:tcPr>
            <w:tcW w:w="1328" w:type="dxa"/>
            <w:gridSpan w:val="2"/>
            <w:tcBorders>
              <w:top w:val="single" w:sz="12"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检查日期</w:t>
            </w:r>
          </w:p>
        </w:tc>
        <w:tc>
          <w:tcPr>
            <w:tcW w:w="1390" w:type="dxa"/>
            <w:gridSpan w:val="3"/>
            <w:tcBorders>
              <w:top w:val="single" w:sz="12" w:space="0" w:color="000000"/>
            </w:tcBorders>
            <w:vAlign w:val="center"/>
          </w:tcPr>
          <w:p>
            <w:pPr>
              <w:pStyle w:val="16"/>
              <w:jc w:val="both"/>
              <w:rPr>
                <w:rFonts w:ascii="仿宋" w:eastAsia="仿宋" w:cs="Times New Roman" w:hAnsi="仿宋"/>
                <w:color w:val="auto"/>
              </w:rPr>
            </w:pPr>
          </w:p>
        </w:tc>
        <w:tc>
          <w:tcPr>
            <w:tcW w:w="1134" w:type="dxa"/>
            <w:gridSpan w:val="2"/>
            <w:tcBorders>
              <w:top w:val="single" w:sz="12"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使用年限</w:t>
            </w:r>
          </w:p>
        </w:tc>
        <w:tc>
          <w:tcPr>
            <w:tcW w:w="1265" w:type="dxa"/>
            <w:tcBorders>
              <w:top w:val="single" w:sz="12" w:space="0" w:color="000000"/>
            </w:tcBorders>
            <w:vAlign w:val="center"/>
          </w:tcPr>
          <w:p>
            <w:pPr>
              <w:pStyle w:val="16"/>
              <w:jc w:val="both"/>
              <w:rPr>
                <w:rFonts w:ascii="仿宋" w:eastAsia="仿宋" w:cs="Times New Roman" w:hAnsi="仿宋"/>
                <w:color w:val="auto"/>
              </w:rPr>
            </w:pPr>
          </w:p>
        </w:tc>
      </w:tr>
      <w:tr>
        <w:trPr>
          <w:trHeight w:val="458"/>
        </w:trPr>
        <w:tc>
          <w:tcPr>
            <w:tcW w:w="1360" w:type="dxa"/>
            <w:gridSpan w:val="3"/>
            <w:vMerge w:val="restart"/>
            <w:vAlign w:val="center"/>
          </w:tcPr>
          <w:p>
            <w:pPr>
              <w:pStyle w:val="16"/>
              <w:jc w:val="both"/>
              <w:rPr>
                <w:rFonts w:ascii="仿宋" w:eastAsia="仿宋" w:cs="Times New Roman" w:hAnsi="仿宋"/>
                <w:color w:val="auto"/>
              </w:rPr>
            </w:pPr>
            <w:r>
              <w:rPr>
                <w:rFonts w:ascii="仿宋" w:eastAsia="仿宋" w:cs="Times New Roman" w:hAnsi="仿宋" w:hint="eastAsia"/>
                <w:color w:val="auto"/>
              </w:rPr>
              <w:t>幕墙类型</w:t>
            </w:r>
          </w:p>
        </w:tc>
        <w:tc>
          <w:tcPr>
            <w:tcW w:w="1530" w:type="dxa"/>
            <w:vMerge w:val="restart"/>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石材幕墙</w:t>
            </w:r>
          </w:p>
        </w:tc>
        <w:tc>
          <w:tcPr>
            <w:tcW w:w="796"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材料</w:t>
            </w:r>
          </w:p>
        </w:tc>
        <w:tc>
          <w:tcPr>
            <w:tcW w:w="5651" w:type="dxa"/>
            <w:gridSpan w:val="9"/>
            <w:vAlign w:val="center"/>
          </w:tcPr>
          <w:p>
            <w:pPr>
              <w:pStyle w:val="16"/>
              <w:jc w:val="both"/>
              <w:rPr>
                <w:rFonts w:ascii="仿宋" w:eastAsia="仿宋" w:cs="Times New Roman" w:hAnsi="仿宋"/>
                <w:color w:val="auto"/>
              </w:rPr>
            </w:pPr>
            <w:r>
              <w:rPr>
                <w:rFonts w:ascii="仿宋" w:eastAsia="仿宋" w:cs="Times New Roman" w:hAnsi="仿宋" w:hint="eastAsia"/>
                <w:color w:val="auto"/>
              </w:rPr>
              <w:t>材料：□花岗岩□大理石□石灰石□砂岩□其他</w:t>
            </w:r>
          </w:p>
        </w:tc>
      </w:tr>
      <w:tr>
        <w:trPr>
          <w:trHeight w:val="508"/>
        </w:trPr>
        <w:tc>
          <w:tcPr>
            <w:tcW w:w="1360" w:type="dxa"/>
            <w:gridSpan w:val="3"/>
            <w:vMerge/>
            <w:vAlign w:val="center"/>
          </w:tcPr>
          <w:p/>
        </w:tc>
        <w:tc>
          <w:tcPr>
            <w:tcW w:w="1530" w:type="dxa"/>
            <w:vMerge/>
            <w:tcBorders>
              <w:top w:val="single" w:sz="6" w:space="0" w:color="000000"/>
              <w:left w:val="single" w:sz="6" w:space="0" w:color="000000"/>
              <w:right w:val="single" w:sz="6" w:space="0" w:color="000000"/>
            </w:tcBorders>
            <w:vAlign w:val="center"/>
          </w:tcPr>
          <w:p/>
        </w:tc>
        <w:tc>
          <w:tcPr>
            <w:tcW w:w="796"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构造</w:t>
            </w:r>
          </w:p>
        </w:tc>
        <w:tc>
          <w:tcPr>
            <w:tcW w:w="5651" w:type="dxa"/>
            <w:gridSpan w:val="9"/>
            <w:vAlign w:val="center"/>
          </w:tcPr>
          <w:p>
            <w:pPr>
              <w:pStyle w:val="16"/>
              <w:jc w:val="both"/>
              <w:rPr>
                <w:rFonts w:ascii="仿宋" w:eastAsia="仿宋" w:cs="Times New Roman" w:hAnsi="仿宋"/>
                <w:color w:val="auto"/>
              </w:rPr>
            </w:pPr>
            <w:r>
              <w:rPr>
                <w:rFonts w:ascii="仿宋" w:eastAsia="仿宋" w:cs="Times New Roman" w:hAnsi="仿宋" w:hint="eastAsia"/>
                <w:color w:val="auto"/>
              </w:rPr>
              <w:t>构造：□短槽式□通槽式□背栓式□封闭式</w:t>
            </w:r>
          </w:p>
          <w:p>
            <w:pPr>
              <w:pStyle w:val="16"/>
              <w:ind w:firstLineChars="300" w:firstLine="720"/>
              <w:jc w:val="both"/>
              <w:rPr>
                <w:rFonts w:ascii="仿宋" w:eastAsia="仿宋" w:cs="Times New Roman" w:hAnsi="仿宋"/>
                <w:color w:val="auto"/>
              </w:rPr>
            </w:pPr>
            <w:r>
              <w:rPr>
                <w:rFonts w:ascii="仿宋" w:eastAsia="仿宋" w:cs="Times New Roman" w:hAnsi="仿宋" w:hint="eastAsia"/>
                <w:color w:val="auto"/>
              </w:rPr>
              <w:t>□开放式□其他</w:t>
            </w:r>
          </w:p>
        </w:tc>
      </w:tr>
      <w:tr>
        <w:trPr>
          <w:trHeight w:val="458"/>
        </w:trPr>
        <w:tc>
          <w:tcPr>
            <w:tcW w:w="666" w:type="dxa"/>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项目</w:t>
            </w:r>
          </w:p>
        </w:tc>
        <w:tc>
          <w:tcPr>
            <w:tcW w:w="6074" w:type="dxa"/>
            <w:gridSpan w:val="9"/>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安全隐患</w:t>
            </w:r>
          </w:p>
        </w:tc>
        <w:tc>
          <w:tcPr>
            <w:tcW w:w="663" w:type="dxa"/>
            <w:gridSpan w:val="2"/>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立面</w:t>
            </w:r>
          </w:p>
        </w:tc>
        <w:tc>
          <w:tcPr>
            <w:tcW w:w="667"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数量</w:t>
            </w:r>
          </w:p>
        </w:tc>
        <w:tc>
          <w:tcPr>
            <w:tcW w:w="1265" w:type="dxa"/>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照片编号</w:t>
            </w:r>
          </w:p>
        </w:tc>
      </w:tr>
      <w:tr>
        <w:trPr>
          <w:trHeight w:val="458"/>
        </w:trPr>
        <w:tc>
          <w:tcPr>
            <w:tcW w:w="666" w:type="dxa"/>
            <w:vMerge w:val="restart"/>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幕墙</w:t>
            </w:r>
          </w:p>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面板</w:t>
            </w:r>
          </w:p>
        </w:tc>
        <w:tc>
          <w:tcPr>
            <w:tcW w:w="5543" w:type="dxa"/>
            <w:gridSpan w:val="8"/>
            <w:tcBorders>
              <w:top w:val="single" w:sz="6" w:space="0" w:color="000000"/>
              <w:left w:val="single" w:sz="6" w:space="0" w:color="000000"/>
              <w:right w:val="single" w:sz="6" w:space="0" w:color="000000"/>
            </w:tcBorders>
            <w:vAlign w:val="center"/>
          </w:tcPr>
          <w:p>
            <w:pPr>
              <w:spacing w:line="240" w:lineRule="exact"/>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面板有破碎、破裂、缺损、坠落</w:t>
            </w:r>
          </w:p>
        </w:tc>
        <w:tc>
          <w:tcPr>
            <w:tcW w:w="531"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w:t>
            </w:r>
          </w:p>
        </w:tc>
        <w:tc>
          <w:tcPr>
            <w:tcW w:w="663" w:type="dxa"/>
            <w:gridSpan w:val="2"/>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667"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1265" w:type="dxa"/>
            <w:vAlign w:val="center"/>
          </w:tcPr>
          <w:p>
            <w:pPr>
              <w:pStyle w:val="16"/>
              <w:spacing w:line="240" w:lineRule="exact"/>
              <w:jc w:val="both"/>
              <w:rPr>
                <w:rFonts w:ascii="仿宋" w:eastAsia="仿宋" w:cs="Times New Roman" w:hAnsi="仿宋"/>
                <w:color w:val="auto"/>
              </w:rPr>
            </w:pPr>
          </w:p>
        </w:tc>
      </w:tr>
      <w:tr>
        <w:trPr>
          <w:trHeight w:val="458"/>
        </w:trPr>
        <w:tc>
          <w:tcPr>
            <w:tcW w:w="666" w:type="dxa"/>
            <w:vMerge/>
            <w:vAlign w:val="center"/>
          </w:tcPr>
          <w:p/>
        </w:tc>
        <w:tc>
          <w:tcPr>
            <w:tcW w:w="5543" w:type="dxa"/>
            <w:gridSpan w:val="8"/>
            <w:tcBorders>
              <w:top w:val="single" w:sz="6" w:space="0" w:color="000000"/>
              <w:left w:val="single" w:sz="6" w:space="0" w:color="000000"/>
              <w:right w:val="single" w:sz="6" w:space="0" w:color="000000"/>
            </w:tcBorders>
            <w:vAlign w:val="center"/>
          </w:tcPr>
          <w:p>
            <w:pPr>
              <w:spacing w:line="240" w:lineRule="exact"/>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面板有松动、松脱、剥离等</w:t>
            </w:r>
          </w:p>
        </w:tc>
        <w:tc>
          <w:tcPr>
            <w:tcW w:w="531"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w:t>
            </w:r>
          </w:p>
        </w:tc>
        <w:tc>
          <w:tcPr>
            <w:tcW w:w="663" w:type="dxa"/>
            <w:gridSpan w:val="2"/>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667"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1265" w:type="dxa"/>
            <w:vAlign w:val="center"/>
          </w:tcPr>
          <w:p>
            <w:pPr>
              <w:pStyle w:val="16"/>
              <w:spacing w:line="240" w:lineRule="exact"/>
              <w:jc w:val="both"/>
              <w:rPr>
                <w:rFonts w:ascii="仿宋" w:eastAsia="仿宋" w:cs="Times New Roman" w:hAnsi="仿宋"/>
                <w:color w:val="auto"/>
              </w:rPr>
            </w:pPr>
          </w:p>
        </w:tc>
      </w:tr>
      <w:tr>
        <w:trPr>
          <w:trHeight w:val="458"/>
        </w:trPr>
        <w:tc>
          <w:tcPr>
            <w:tcW w:w="666" w:type="dxa"/>
            <w:vMerge/>
            <w:vAlign w:val="center"/>
          </w:tcPr>
          <w:p/>
        </w:tc>
        <w:tc>
          <w:tcPr>
            <w:tcW w:w="5543" w:type="dxa"/>
            <w:gridSpan w:val="8"/>
            <w:tcBorders>
              <w:top w:val="single" w:sz="6" w:space="0" w:color="000000"/>
              <w:left w:val="single" w:sz="6" w:space="0" w:color="000000"/>
              <w:right w:val="single" w:sz="6" w:space="0" w:color="000000"/>
            </w:tcBorders>
            <w:vAlign w:val="center"/>
          </w:tcPr>
          <w:p>
            <w:pPr>
              <w:spacing w:line="240" w:lineRule="exact"/>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面板之间有不正常挤压、错位</w:t>
            </w:r>
          </w:p>
        </w:tc>
        <w:tc>
          <w:tcPr>
            <w:tcW w:w="531"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w:t>
            </w:r>
          </w:p>
        </w:tc>
        <w:tc>
          <w:tcPr>
            <w:tcW w:w="663" w:type="dxa"/>
            <w:gridSpan w:val="2"/>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667"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1265" w:type="dxa"/>
            <w:vAlign w:val="center"/>
          </w:tcPr>
          <w:p>
            <w:pPr>
              <w:pStyle w:val="16"/>
              <w:spacing w:line="240" w:lineRule="exact"/>
              <w:jc w:val="both"/>
              <w:rPr>
                <w:rFonts w:ascii="仿宋" w:eastAsia="仿宋" w:cs="Times New Roman" w:hAnsi="仿宋"/>
                <w:color w:val="auto"/>
              </w:rPr>
            </w:pPr>
          </w:p>
        </w:tc>
      </w:tr>
      <w:tr>
        <w:trPr>
          <w:trHeight w:val="458"/>
        </w:trPr>
        <w:tc>
          <w:tcPr>
            <w:tcW w:w="666" w:type="dxa"/>
            <w:vMerge w:val="restart"/>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室外</w:t>
            </w:r>
          </w:p>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装饰构件</w:t>
            </w:r>
          </w:p>
        </w:tc>
        <w:tc>
          <w:tcPr>
            <w:tcW w:w="5543" w:type="dxa"/>
            <w:gridSpan w:val="8"/>
            <w:tcBorders>
              <w:top w:val="single" w:sz="6" w:space="0" w:color="000000"/>
              <w:left w:val="single" w:sz="6" w:space="0" w:color="000000"/>
              <w:right w:val="single" w:sz="6" w:space="0" w:color="000000"/>
            </w:tcBorders>
            <w:vAlign w:val="center"/>
          </w:tcPr>
          <w:p>
            <w:pPr>
              <w:spacing w:line="240" w:lineRule="exact"/>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构件有破碎、破裂等</w:t>
            </w:r>
          </w:p>
        </w:tc>
        <w:tc>
          <w:tcPr>
            <w:tcW w:w="531"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w:t>
            </w:r>
          </w:p>
        </w:tc>
        <w:tc>
          <w:tcPr>
            <w:tcW w:w="663" w:type="dxa"/>
            <w:gridSpan w:val="2"/>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667"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1265" w:type="dxa"/>
            <w:vAlign w:val="center"/>
          </w:tcPr>
          <w:p>
            <w:pPr>
              <w:pStyle w:val="16"/>
              <w:spacing w:line="240" w:lineRule="exact"/>
              <w:jc w:val="both"/>
              <w:rPr>
                <w:rFonts w:ascii="仿宋" w:eastAsia="仿宋" w:cs="Times New Roman" w:hAnsi="仿宋"/>
                <w:color w:val="auto"/>
              </w:rPr>
            </w:pPr>
          </w:p>
        </w:tc>
      </w:tr>
      <w:tr>
        <w:trPr>
          <w:trHeight w:val="458"/>
        </w:trPr>
        <w:tc>
          <w:tcPr>
            <w:tcW w:w="666" w:type="dxa"/>
            <w:vMerge/>
            <w:vAlign w:val="center"/>
          </w:tcPr>
          <w:p/>
        </w:tc>
        <w:tc>
          <w:tcPr>
            <w:tcW w:w="5543" w:type="dxa"/>
            <w:gridSpan w:val="8"/>
            <w:tcBorders>
              <w:top w:val="single" w:sz="6" w:space="0" w:color="000000"/>
              <w:left w:val="single" w:sz="6" w:space="0" w:color="000000"/>
              <w:right w:val="single" w:sz="6" w:space="0" w:color="000000"/>
            </w:tcBorders>
            <w:vAlign w:val="center"/>
          </w:tcPr>
          <w:p>
            <w:pPr>
              <w:spacing w:line="240" w:lineRule="exact"/>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构件有松动、松脱、裂纹等</w:t>
            </w:r>
          </w:p>
        </w:tc>
        <w:tc>
          <w:tcPr>
            <w:tcW w:w="531"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w:t>
            </w:r>
          </w:p>
        </w:tc>
        <w:tc>
          <w:tcPr>
            <w:tcW w:w="663" w:type="dxa"/>
            <w:gridSpan w:val="2"/>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667"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1265" w:type="dxa"/>
            <w:vAlign w:val="center"/>
          </w:tcPr>
          <w:p>
            <w:pPr>
              <w:pStyle w:val="16"/>
              <w:spacing w:line="240" w:lineRule="exact"/>
              <w:jc w:val="both"/>
              <w:rPr>
                <w:rFonts w:ascii="仿宋" w:eastAsia="仿宋" w:cs="Times New Roman" w:hAnsi="仿宋"/>
                <w:color w:val="auto"/>
              </w:rPr>
            </w:pPr>
          </w:p>
        </w:tc>
      </w:tr>
      <w:tr>
        <w:trPr>
          <w:trHeight w:val="458"/>
        </w:trPr>
        <w:tc>
          <w:tcPr>
            <w:tcW w:w="666" w:type="dxa"/>
            <w:vMerge/>
            <w:vAlign w:val="center"/>
          </w:tcPr>
          <w:p/>
        </w:tc>
        <w:tc>
          <w:tcPr>
            <w:tcW w:w="5543" w:type="dxa"/>
            <w:gridSpan w:val="8"/>
            <w:tcBorders>
              <w:top w:val="single" w:sz="6" w:space="0" w:color="000000"/>
              <w:left w:val="single" w:sz="6" w:space="0" w:color="000000"/>
              <w:right w:val="single" w:sz="6" w:space="0" w:color="000000"/>
            </w:tcBorders>
            <w:vAlign w:val="center"/>
          </w:tcPr>
          <w:p>
            <w:pPr>
              <w:spacing w:line="240" w:lineRule="exact"/>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构件有不正常挤压、错位</w:t>
            </w:r>
          </w:p>
        </w:tc>
        <w:tc>
          <w:tcPr>
            <w:tcW w:w="531"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w:t>
            </w:r>
          </w:p>
        </w:tc>
        <w:tc>
          <w:tcPr>
            <w:tcW w:w="663" w:type="dxa"/>
            <w:gridSpan w:val="2"/>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667"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1265" w:type="dxa"/>
            <w:vAlign w:val="center"/>
          </w:tcPr>
          <w:p>
            <w:pPr>
              <w:pStyle w:val="16"/>
              <w:spacing w:line="240" w:lineRule="exact"/>
              <w:jc w:val="both"/>
              <w:rPr>
                <w:rFonts w:ascii="仿宋" w:eastAsia="仿宋" w:cs="Times New Roman" w:hAnsi="仿宋"/>
                <w:color w:val="auto"/>
              </w:rPr>
            </w:pPr>
          </w:p>
        </w:tc>
      </w:tr>
      <w:tr>
        <w:trPr>
          <w:trHeight w:val="458"/>
        </w:trPr>
        <w:tc>
          <w:tcPr>
            <w:tcW w:w="666" w:type="dxa"/>
            <w:vMerge w:val="restart"/>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受力</w:t>
            </w:r>
          </w:p>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构件</w:t>
            </w:r>
          </w:p>
        </w:tc>
        <w:tc>
          <w:tcPr>
            <w:tcW w:w="5543" w:type="dxa"/>
            <w:gridSpan w:val="8"/>
            <w:tcBorders>
              <w:top w:val="single" w:sz="6" w:space="0" w:color="000000"/>
              <w:left w:val="single" w:sz="6" w:space="0" w:color="000000"/>
              <w:right w:val="single" w:sz="6" w:space="0" w:color="000000"/>
            </w:tcBorders>
            <w:vAlign w:val="center"/>
          </w:tcPr>
          <w:p>
            <w:pPr>
              <w:spacing w:line="240" w:lineRule="exact"/>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埋件连接松动、位移、脱落、开焊或严重锈蚀；</w:t>
            </w:r>
          </w:p>
        </w:tc>
        <w:tc>
          <w:tcPr>
            <w:tcW w:w="531"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w:t>
            </w:r>
          </w:p>
        </w:tc>
        <w:tc>
          <w:tcPr>
            <w:tcW w:w="663" w:type="dxa"/>
            <w:gridSpan w:val="2"/>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667"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1265" w:type="dxa"/>
            <w:vAlign w:val="center"/>
          </w:tcPr>
          <w:p>
            <w:pPr>
              <w:pStyle w:val="16"/>
              <w:spacing w:line="240" w:lineRule="exact"/>
              <w:jc w:val="both"/>
              <w:rPr>
                <w:rFonts w:ascii="仿宋" w:eastAsia="仿宋" w:cs="Times New Roman" w:hAnsi="仿宋"/>
                <w:color w:val="auto"/>
              </w:rPr>
            </w:pPr>
          </w:p>
        </w:tc>
      </w:tr>
      <w:tr>
        <w:trPr>
          <w:trHeight w:val="458"/>
        </w:trPr>
        <w:tc>
          <w:tcPr>
            <w:tcW w:w="666" w:type="dxa"/>
            <w:vMerge/>
            <w:vAlign w:val="center"/>
          </w:tcPr>
          <w:p/>
        </w:tc>
        <w:tc>
          <w:tcPr>
            <w:tcW w:w="5543" w:type="dxa"/>
            <w:gridSpan w:val="8"/>
            <w:tcBorders>
              <w:top w:val="single" w:sz="6" w:space="0" w:color="000000"/>
              <w:left w:val="single" w:sz="6" w:space="0" w:color="000000"/>
              <w:right w:val="single" w:sz="6" w:space="0" w:color="000000"/>
            </w:tcBorders>
            <w:vAlign w:val="center"/>
          </w:tcPr>
          <w:p>
            <w:pPr>
              <w:spacing w:line="240" w:lineRule="exact"/>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与主体结构连接组件有损坏，松动、缺失或严重锈蚀</w:t>
            </w:r>
          </w:p>
        </w:tc>
        <w:tc>
          <w:tcPr>
            <w:tcW w:w="531"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w:t>
            </w:r>
          </w:p>
        </w:tc>
        <w:tc>
          <w:tcPr>
            <w:tcW w:w="663" w:type="dxa"/>
            <w:gridSpan w:val="2"/>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667"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1265" w:type="dxa"/>
            <w:vAlign w:val="center"/>
          </w:tcPr>
          <w:p>
            <w:pPr>
              <w:pStyle w:val="16"/>
              <w:spacing w:line="240" w:lineRule="exact"/>
              <w:jc w:val="both"/>
              <w:rPr>
                <w:rFonts w:ascii="仿宋" w:eastAsia="仿宋" w:cs="Times New Roman" w:hAnsi="仿宋"/>
                <w:color w:val="auto"/>
              </w:rPr>
            </w:pPr>
          </w:p>
        </w:tc>
      </w:tr>
      <w:tr>
        <w:trPr>
          <w:trHeight w:val="458"/>
        </w:trPr>
        <w:tc>
          <w:tcPr>
            <w:tcW w:w="666" w:type="dxa"/>
            <w:vMerge/>
            <w:vAlign w:val="center"/>
          </w:tcPr>
          <w:p/>
        </w:tc>
        <w:tc>
          <w:tcPr>
            <w:tcW w:w="5543" w:type="dxa"/>
            <w:gridSpan w:val="8"/>
            <w:tcBorders>
              <w:top w:val="single" w:sz="6" w:space="0" w:color="000000"/>
              <w:left w:val="single" w:sz="6" w:space="0" w:color="000000"/>
              <w:right w:val="single" w:sz="6" w:space="0" w:color="000000"/>
            </w:tcBorders>
            <w:vAlign w:val="center"/>
          </w:tcPr>
          <w:p>
            <w:pPr>
              <w:spacing w:line="240" w:lineRule="exact"/>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立柱、横梁连接松动、变形或严重锈蚀</w:t>
            </w:r>
          </w:p>
        </w:tc>
        <w:tc>
          <w:tcPr>
            <w:tcW w:w="531"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w:t>
            </w:r>
          </w:p>
        </w:tc>
        <w:tc>
          <w:tcPr>
            <w:tcW w:w="663" w:type="dxa"/>
            <w:gridSpan w:val="2"/>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667"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1265" w:type="dxa"/>
            <w:vAlign w:val="center"/>
          </w:tcPr>
          <w:p>
            <w:pPr>
              <w:pStyle w:val="16"/>
              <w:spacing w:line="240" w:lineRule="exact"/>
              <w:jc w:val="both"/>
              <w:rPr>
                <w:rFonts w:ascii="仿宋" w:eastAsia="仿宋" w:cs="Times New Roman" w:hAnsi="仿宋"/>
                <w:color w:val="auto"/>
              </w:rPr>
            </w:pPr>
          </w:p>
        </w:tc>
      </w:tr>
      <w:tr>
        <w:trPr>
          <w:trHeight w:val="458"/>
        </w:trPr>
        <w:tc>
          <w:tcPr>
            <w:tcW w:w="666" w:type="dxa"/>
            <w:vMerge/>
            <w:vAlign w:val="center"/>
          </w:tcPr>
          <w:p/>
        </w:tc>
        <w:tc>
          <w:tcPr>
            <w:tcW w:w="5543" w:type="dxa"/>
            <w:gridSpan w:val="8"/>
            <w:tcBorders>
              <w:top w:val="single" w:sz="6" w:space="0" w:color="000000"/>
              <w:left w:val="single" w:sz="6" w:space="0" w:color="000000"/>
              <w:right w:val="single" w:sz="6" w:space="0" w:color="000000"/>
            </w:tcBorders>
            <w:vAlign w:val="center"/>
          </w:tcPr>
          <w:p>
            <w:pPr>
              <w:spacing w:line="240" w:lineRule="exact"/>
              <w:rPr>
                <w:rFonts w:ascii="仿宋" w:eastAsia="仿宋" w:hAnsi="仿宋"/>
                <w:sz w:val="24"/>
                <w:szCs w:val="24"/>
              </w:rPr>
            </w:pPr>
            <w:r>
              <w:rPr>
                <w:rFonts w:ascii="仿宋" w:eastAsia="仿宋" w:hAnsi="仿宋"/>
                <w:sz w:val="24"/>
                <w:szCs w:val="24"/>
              </w:rPr>
              <w:t>4.</w:t>
            </w:r>
            <w:r>
              <w:rPr>
                <w:rFonts w:ascii="仿宋" w:eastAsia="仿宋" w:hAnsi="仿宋" w:hint="eastAsia"/>
                <w:sz w:val="24"/>
                <w:szCs w:val="24"/>
              </w:rPr>
              <w:t>挂件缺失、变形或严重锈蚀</w:t>
            </w:r>
          </w:p>
        </w:tc>
        <w:tc>
          <w:tcPr>
            <w:tcW w:w="531"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w:t>
            </w:r>
          </w:p>
        </w:tc>
        <w:tc>
          <w:tcPr>
            <w:tcW w:w="663" w:type="dxa"/>
            <w:gridSpan w:val="2"/>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667"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1265" w:type="dxa"/>
            <w:vAlign w:val="center"/>
          </w:tcPr>
          <w:p>
            <w:pPr>
              <w:pStyle w:val="16"/>
              <w:spacing w:line="240" w:lineRule="exact"/>
              <w:jc w:val="both"/>
              <w:rPr>
                <w:rFonts w:ascii="仿宋" w:eastAsia="仿宋" w:cs="Times New Roman" w:hAnsi="仿宋"/>
                <w:color w:val="auto"/>
              </w:rPr>
            </w:pPr>
          </w:p>
        </w:tc>
      </w:tr>
      <w:tr>
        <w:trPr>
          <w:trHeight w:val="458"/>
        </w:trPr>
        <w:tc>
          <w:tcPr>
            <w:tcW w:w="666" w:type="dxa"/>
            <w:vMerge w:val="restart"/>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雨水</w:t>
            </w:r>
          </w:p>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渗漏</w:t>
            </w:r>
          </w:p>
        </w:tc>
        <w:tc>
          <w:tcPr>
            <w:tcW w:w="5543" w:type="dxa"/>
            <w:gridSpan w:val="8"/>
            <w:tcBorders>
              <w:top w:val="single" w:sz="6" w:space="0" w:color="000000"/>
              <w:left w:val="single" w:sz="6" w:space="0" w:color="000000"/>
              <w:right w:val="single" w:sz="6" w:space="0" w:color="000000"/>
            </w:tcBorders>
            <w:vAlign w:val="center"/>
          </w:tcPr>
          <w:p>
            <w:pPr>
              <w:spacing w:line="240" w:lineRule="exact"/>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密封胶有硬化、起泡、脱胶、开裂等</w:t>
            </w:r>
          </w:p>
        </w:tc>
        <w:tc>
          <w:tcPr>
            <w:tcW w:w="531"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w:t>
            </w:r>
          </w:p>
        </w:tc>
        <w:tc>
          <w:tcPr>
            <w:tcW w:w="663" w:type="dxa"/>
            <w:gridSpan w:val="2"/>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667"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1265" w:type="dxa"/>
            <w:vAlign w:val="center"/>
          </w:tcPr>
          <w:p>
            <w:pPr>
              <w:pStyle w:val="16"/>
              <w:spacing w:line="240" w:lineRule="exact"/>
              <w:jc w:val="both"/>
              <w:rPr>
                <w:rFonts w:ascii="仿宋" w:eastAsia="仿宋" w:cs="Times New Roman" w:hAnsi="仿宋"/>
                <w:color w:val="auto"/>
              </w:rPr>
            </w:pPr>
          </w:p>
        </w:tc>
      </w:tr>
      <w:tr>
        <w:trPr>
          <w:trHeight w:val="458"/>
        </w:trPr>
        <w:tc>
          <w:tcPr>
            <w:tcW w:w="666" w:type="dxa"/>
            <w:vMerge/>
            <w:vAlign w:val="center"/>
          </w:tcPr>
          <w:p/>
        </w:tc>
        <w:tc>
          <w:tcPr>
            <w:tcW w:w="5543" w:type="dxa"/>
            <w:gridSpan w:val="8"/>
            <w:tcBorders>
              <w:top w:val="single" w:sz="6" w:space="0" w:color="000000"/>
              <w:left w:val="single" w:sz="6" w:space="0" w:color="000000"/>
              <w:right w:val="single" w:sz="6" w:space="0" w:color="000000"/>
            </w:tcBorders>
            <w:vAlign w:val="center"/>
          </w:tcPr>
          <w:p>
            <w:pPr>
              <w:spacing w:line="240" w:lineRule="exact"/>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开放式幕墙未设镀锌板等防风雨措施</w:t>
            </w:r>
          </w:p>
        </w:tc>
        <w:tc>
          <w:tcPr>
            <w:tcW w:w="531"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w:t>
            </w:r>
          </w:p>
        </w:tc>
        <w:tc>
          <w:tcPr>
            <w:tcW w:w="663" w:type="dxa"/>
            <w:gridSpan w:val="2"/>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667"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1265" w:type="dxa"/>
            <w:vAlign w:val="center"/>
          </w:tcPr>
          <w:p>
            <w:pPr>
              <w:pStyle w:val="16"/>
              <w:spacing w:line="240" w:lineRule="exact"/>
              <w:jc w:val="both"/>
              <w:rPr>
                <w:rFonts w:ascii="仿宋" w:eastAsia="仿宋" w:cs="Times New Roman" w:hAnsi="仿宋"/>
                <w:color w:val="auto"/>
              </w:rPr>
            </w:pPr>
          </w:p>
        </w:tc>
      </w:tr>
      <w:tr>
        <w:trPr>
          <w:trHeight w:val="458"/>
        </w:trPr>
        <w:tc>
          <w:tcPr>
            <w:tcW w:w="666" w:type="dxa"/>
            <w:vMerge w:val="restart"/>
            <w:vAlign w:val="center"/>
          </w:tcPr>
          <w:p>
            <w:pPr>
              <w:spacing w:line="240" w:lineRule="exact"/>
              <w:jc w:val="center"/>
              <w:rPr>
                <w:rFonts w:ascii="仿宋" w:eastAsia="仿宋" w:hAnsi="仿宋"/>
                <w:sz w:val="24"/>
                <w:szCs w:val="24"/>
              </w:rPr>
            </w:pPr>
            <w:r>
              <w:rPr>
                <w:rFonts w:ascii="仿宋" w:eastAsia="仿宋" w:hAnsi="仿宋" w:hint="eastAsia"/>
                <w:sz w:val="24"/>
                <w:szCs w:val="24"/>
              </w:rPr>
              <w:t>拆改</w:t>
            </w:r>
          </w:p>
          <w:p>
            <w:pPr>
              <w:pStyle w:val="16"/>
              <w:spacing w:line="240" w:lineRule="exact"/>
              <w:jc w:val="both"/>
              <w:rPr>
                <w:rFonts w:ascii="仿宋" w:eastAsia="仿宋" w:cs="Times New Roman" w:hAnsi="仿宋"/>
                <w:color w:val="auto"/>
              </w:rPr>
            </w:pPr>
            <w:r>
              <w:rPr>
                <w:rFonts w:ascii="仿宋" w:eastAsia="仿宋" w:hAnsi="仿宋" w:hint="eastAsia"/>
                <w:color w:val="auto"/>
              </w:rPr>
              <w:t>部位</w:t>
            </w:r>
          </w:p>
        </w:tc>
        <w:tc>
          <w:tcPr>
            <w:tcW w:w="5543" w:type="dxa"/>
            <w:gridSpan w:val="8"/>
            <w:tcBorders>
              <w:top w:val="single" w:sz="6" w:space="0" w:color="000000"/>
              <w:left w:val="single" w:sz="6" w:space="0" w:color="000000"/>
              <w:right w:val="single" w:sz="6" w:space="0" w:color="000000"/>
            </w:tcBorders>
            <w:vAlign w:val="center"/>
          </w:tcPr>
          <w:p>
            <w:pPr>
              <w:spacing w:line="240" w:lineRule="exact"/>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受力构件、连接构造拆卸、更改等现象</w:t>
            </w:r>
          </w:p>
        </w:tc>
        <w:tc>
          <w:tcPr>
            <w:tcW w:w="531"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w:t>
            </w:r>
          </w:p>
        </w:tc>
        <w:tc>
          <w:tcPr>
            <w:tcW w:w="663" w:type="dxa"/>
            <w:gridSpan w:val="2"/>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667"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1265" w:type="dxa"/>
            <w:vAlign w:val="center"/>
          </w:tcPr>
          <w:p>
            <w:pPr>
              <w:pStyle w:val="16"/>
              <w:spacing w:line="240" w:lineRule="exact"/>
              <w:jc w:val="both"/>
              <w:rPr>
                <w:rFonts w:ascii="仿宋" w:eastAsia="仿宋" w:cs="Times New Roman" w:hAnsi="仿宋"/>
                <w:color w:val="auto"/>
              </w:rPr>
            </w:pPr>
          </w:p>
        </w:tc>
      </w:tr>
      <w:tr>
        <w:trPr>
          <w:trHeight w:val="458"/>
        </w:trPr>
        <w:tc>
          <w:tcPr>
            <w:tcW w:w="666" w:type="dxa"/>
            <w:vMerge/>
            <w:vAlign w:val="center"/>
          </w:tcPr>
          <w:p/>
        </w:tc>
        <w:tc>
          <w:tcPr>
            <w:tcW w:w="5543" w:type="dxa"/>
            <w:gridSpan w:val="8"/>
            <w:tcBorders>
              <w:top w:val="single" w:sz="6" w:space="0" w:color="000000"/>
              <w:left w:val="single" w:sz="6" w:space="0" w:color="000000"/>
              <w:right w:val="single" w:sz="6" w:space="0" w:color="000000"/>
            </w:tcBorders>
            <w:vAlign w:val="center"/>
          </w:tcPr>
          <w:p>
            <w:pPr>
              <w:spacing w:line="240" w:lineRule="exact"/>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防火封堵和防雷连接被拆卸、更改等现象</w:t>
            </w:r>
          </w:p>
        </w:tc>
        <w:tc>
          <w:tcPr>
            <w:tcW w:w="531"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w:t>
            </w:r>
          </w:p>
        </w:tc>
        <w:tc>
          <w:tcPr>
            <w:tcW w:w="663" w:type="dxa"/>
            <w:gridSpan w:val="2"/>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667"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1265" w:type="dxa"/>
            <w:vAlign w:val="center"/>
          </w:tcPr>
          <w:p>
            <w:pPr>
              <w:pStyle w:val="16"/>
              <w:spacing w:line="240" w:lineRule="exact"/>
              <w:jc w:val="both"/>
              <w:rPr>
                <w:rFonts w:ascii="仿宋" w:eastAsia="仿宋" w:cs="Times New Roman" w:hAnsi="仿宋"/>
                <w:color w:val="auto"/>
              </w:rPr>
            </w:pPr>
          </w:p>
        </w:tc>
      </w:tr>
      <w:tr>
        <w:trPr>
          <w:trHeight w:val="458"/>
        </w:trPr>
        <w:tc>
          <w:tcPr>
            <w:tcW w:w="666" w:type="dxa"/>
            <w:vMerge/>
            <w:vAlign w:val="center"/>
          </w:tcPr>
          <w:p/>
        </w:tc>
        <w:tc>
          <w:tcPr>
            <w:tcW w:w="5543" w:type="dxa"/>
            <w:gridSpan w:val="8"/>
            <w:tcBorders>
              <w:top w:val="single" w:sz="6" w:space="0" w:color="000000"/>
              <w:left w:val="single" w:sz="6" w:space="0" w:color="000000"/>
              <w:right w:val="single" w:sz="6" w:space="0" w:color="000000"/>
            </w:tcBorders>
            <w:vAlign w:val="center"/>
          </w:tcPr>
          <w:p>
            <w:pPr>
              <w:spacing w:line="240" w:lineRule="exact"/>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擅自在幕墙上设置霓虹灯、招牌及广告等设施</w:t>
            </w:r>
          </w:p>
        </w:tc>
        <w:tc>
          <w:tcPr>
            <w:tcW w:w="531"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r>
              <w:rPr>
                <w:rFonts w:ascii="仿宋" w:eastAsia="仿宋" w:cs="Times New Roman" w:hAnsi="仿宋" w:hint="eastAsia"/>
                <w:color w:val="auto"/>
              </w:rPr>
              <w:t>□</w:t>
            </w:r>
          </w:p>
        </w:tc>
        <w:tc>
          <w:tcPr>
            <w:tcW w:w="663" w:type="dxa"/>
            <w:gridSpan w:val="2"/>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667" w:type="dxa"/>
            <w:tcBorders>
              <w:top w:val="single" w:sz="6" w:space="0" w:color="000000"/>
              <w:left w:val="single" w:sz="6" w:space="0" w:color="000000"/>
              <w:right w:val="single" w:sz="6" w:space="0" w:color="000000"/>
            </w:tcBorders>
            <w:vAlign w:val="center"/>
          </w:tcPr>
          <w:p>
            <w:pPr>
              <w:pStyle w:val="16"/>
              <w:spacing w:line="240" w:lineRule="exact"/>
              <w:jc w:val="both"/>
              <w:rPr>
                <w:rFonts w:ascii="仿宋" w:eastAsia="仿宋" w:cs="Times New Roman" w:hAnsi="仿宋"/>
                <w:color w:val="auto"/>
              </w:rPr>
            </w:pPr>
          </w:p>
        </w:tc>
        <w:tc>
          <w:tcPr>
            <w:tcW w:w="1265" w:type="dxa"/>
            <w:vAlign w:val="center"/>
          </w:tcPr>
          <w:p>
            <w:pPr>
              <w:pStyle w:val="16"/>
              <w:spacing w:line="240" w:lineRule="exact"/>
              <w:jc w:val="both"/>
              <w:rPr>
                <w:rFonts w:ascii="仿宋" w:eastAsia="仿宋" w:cs="Times New Roman" w:hAnsi="仿宋"/>
                <w:color w:val="auto"/>
              </w:rPr>
            </w:pPr>
          </w:p>
        </w:tc>
      </w:tr>
      <w:tr>
        <w:trPr>
          <w:trHeight w:val="90"/>
        </w:trPr>
        <w:tc>
          <w:tcPr>
            <w:tcW w:w="9338" w:type="dxa"/>
            <w:gridSpan w:val="14"/>
            <w:vAlign w:val="center"/>
          </w:tcPr>
          <w:p>
            <w:pPr>
              <w:pStyle w:val="16"/>
              <w:jc w:val="both"/>
              <w:rPr>
                <w:rFonts w:ascii="仿宋" w:eastAsia="仿宋" w:cs="Times New Roman" w:hAnsi="仿宋"/>
                <w:color w:val="auto"/>
              </w:rPr>
            </w:pPr>
            <w:r>
              <w:rPr>
                <w:rFonts w:ascii="仿宋" w:eastAsia="仿宋" w:cs="Times New Roman" w:hAnsi="仿宋" w:hint="eastAsia"/>
                <w:color w:val="auto"/>
              </w:rPr>
              <w:t>备注：</w:t>
            </w:r>
          </w:p>
        </w:tc>
      </w:tr>
      <w:tr>
        <w:trPr>
          <w:trHeight w:val="458"/>
        </w:trPr>
        <w:tc>
          <w:tcPr>
            <w:tcW w:w="1162" w:type="dxa"/>
            <w:gridSpan w:val="2"/>
            <w:vAlign w:val="center"/>
          </w:tcPr>
          <w:p>
            <w:pPr>
              <w:pStyle w:val="16"/>
              <w:jc w:val="both"/>
              <w:rPr>
                <w:rFonts w:ascii="仿宋" w:eastAsia="仿宋" w:cs="Times New Roman" w:hAnsi="仿宋"/>
                <w:color w:val="auto"/>
              </w:rPr>
            </w:pPr>
            <w:r>
              <w:rPr>
                <w:rFonts w:ascii="仿宋" w:eastAsia="仿宋" w:cs="Times New Roman" w:hAnsi="仿宋" w:hint="eastAsia"/>
                <w:color w:val="auto"/>
              </w:rPr>
              <w:t>检查结论</w:t>
            </w:r>
          </w:p>
        </w:tc>
        <w:tc>
          <w:tcPr>
            <w:tcW w:w="8176" w:type="dxa"/>
            <w:gridSpan w:val="12"/>
            <w:vAlign w:val="center"/>
          </w:tcPr>
          <w:p>
            <w:pPr>
              <w:pStyle w:val="16"/>
              <w:jc w:val="both"/>
              <w:rPr>
                <w:rFonts w:ascii="仿宋" w:eastAsia="仿宋" w:cs="Times New Roman" w:hAnsi="仿宋"/>
                <w:color w:val="auto"/>
              </w:rPr>
            </w:pPr>
            <w:r>
              <w:rPr>
                <w:rFonts w:ascii="仿宋" w:eastAsia="仿宋" w:cs="Times New Roman" w:hAnsi="仿宋" w:hint="eastAsia"/>
                <w:color w:val="auto"/>
              </w:rPr>
              <w:t>□未发现明显安全隐患，加强日常维护管理。</w:t>
            </w:r>
            <w:r>
              <w:rPr>
                <w:rFonts w:ascii="仿宋" w:eastAsia="仿宋" w:cs="Times New Roman" w:hAnsi="仿宋"/>
                <w:color w:val="auto"/>
              </w:rPr>
              <w:t xml:space="preserve">.   </w:t>
            </w:r>
            <w:r>
              <w:rPr>
                <w:rFonts w:ascii="仿宋" w:eastAsia="仿宋" w:cs="Times New Roman" w:hAnsi="仿宋" w:hint="eastAsia"/>
                <w:color w:val="auto"/>
              </w:rPr>
              <w:t>□存在质量问题影响正常使用，委托专业单位进行维修或采取相应措施。□存在安全隐患，应委托专业单位进行安全性检测鉴定并采取相应措施。□幕墙存在严重安全隐患，应立即委托专业单位进行安全性检测鉴定，并立即采取解危措施，或建议拆除（停止使用）。</w:t>
            </w:r>
          </w:p>
        </w:tc>
      </w:tr>
      <w:tr>
        <w:trPr>
          <w:trHeight w:val="458"/>
        </w:trPr>
        <w:tc>
          <w:tcPr>
            <w:tcW w:w="1162" w:type="dxa"/>
            <w:gridSpan w:val="2"/>
            <w:vAlign w:val="center"/>
          </w:tcPr>
          <w:p>
            <w:pPr>
              <w:pStyle w:val="16"/>
              <w:jc w:val="both"/>
              <w:rPr>
                <w:rFonts w:ascii="仿宋" w:eastAsia="仿宋" w:cs="Times New Roman" w:hAnsi="仿宋"/>
                <w:color w:val="auto"/>
              </w:rPr>
            </w:pPr>
            <w:r>
              <w:rPr>
                <w:rFonts w:ascii="仿宋" w:eastAsia="仿宋" w:cs="Times New Roman" w:hAnsi="仿宋" w:hint="eastAsia"/>
                <w:color w:val="auto"/>
              </w:rPr>
              <w:t>检查单位</w:t>
            </w:r>
          </w:p>
        </w:tc>
        <w:tc>
          <w:tcPr>
            <w:tcW w:w="8176" w:type="dxa"/>
            <w:gridSpan w:val="12"/>
            <w:vAlign w:val="center"/>
          </w:tcPr>
          <w:p>
            <w:pPr>
              <w:pStyle w:val="16"/>
              <w:jc w:val="both"/>
              <w:rPr>
                <w:rFonts w:ascii="仿宋" w:eastAsia="仿宋" w:cs="Times New Roman" w:hAnsi="仿宋"/>
                <w:color w:val="auto"/>
              </w:rPr>
            </w:pPr>
          </w:p>
        </w:tc>
      </w:tr>
      <w:tr>
        <w:trPr>
          <w:trHeight w:val="458"/>
        </w:trPr>
        <w:tc>
          <w:tcPr>
            <w:tcW w:w="1162" w:type="dxa"/>
            <w:gridSpan w:val="2"/>
            <w:tcBorders>
              <w:bottom w:val="single" w:sz="12"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检查人</w:t>
            </w:r>
          </w:p>
        </w:tc>
        <w:tc>
          <w:tcPr>
            <w:tcW w:w="3503" w:type="dxa"/>
            <w:gridSpan w:val="5"/>
            <w:tcBorders>
              <w:bottom w:val="single" w:sz="12" w:space="0" w:color="000000"/>
            </w:tcBorders>
            <w:vAlign w:val="center"/>
          </w:tcPr>
          <w:p>
            <w:pPr>
              <w:pStyle w:val="16"/>
              <w:jc w:val="both"/>
              <w:rPr>
                <w:rFonts w:ascii="仿宋" w:eastAsia="仿宋" w:cs="Times New Roman" w:hAnsi="仿宋"/>
                <w:color w:val="auto"/>
              </w:rPr>
            </w:pPr>
          </w:p>
        </w:tc>
        <w:tc>
          <w:tcPr>
            <w:tcW w:w="882" w:type="dxa"/>
            <w:tcBorders>
              <w:bottom w:val="single" w:sz="12"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审核人</w:t>
            </w:r>
          </w:p>
        </w:tc>
        <w:tc>
          <w:tcPr>
            <w:tcW w:w="3789" w:type="dxa"/>
            <w:gridSpan w:val="6"/>
            <w:tcBorders>
              <w:bottom w:val="single" w:sz="12" w:space="0" w:color="000000"/>
            </w:tcBorders>
            <w:vAlign w:val="center"/>
          </w:tcPr>
          <w:p>
            <w:pPr>
              <w:pStyle w:val="16"/>
              <w:jc w:val="both"/>
              <w:rPr>
                <w:rFonts w:ascii="仿宋" w:eastAsia="仿宋" w:cs="Times New Roman" w:hAnsi="仿宋"/>
                <w:color w:val="auto"/>
              </w:rPr>
            </w:pPr>
          </w:p>
        </w:tc>
      </w:tr>
    </w:tbl>
    <w:p>
      <w:pPr>
        <w:ind w:left="160" w:hangingChars="67" w:hanging="160"/>
        <w:jc w:val="center"/>
        <w:rPr>
          <w:rFonts w:ascii="宋体"/>
          <w:b/>
        </w:rPr>
      </w:pPr>
      <w:r>
        <w:rPr>
          <w:rFonts w:ascii="仿宋" w:eastAsia="仿宋" w:hAnsi="仿宋" w:hint="eastAsia"/>
          <w:sz w:val="24"/>
          <w:szCs w:val="24"/>
        </w:rPr>
        <w:t>监督单位：区街道：社区：</w:t>
      </w:r>
    </w:p>
    <w:p>
      <w:pPr>
        <w:jc w:val="center"/>
        <w:rPr>
          <w:rFonts w:ascii="新宋体" w:eastAsia="新宋体" w:hAnsi="新宋体"/>
          <w:b/>
          <w:sz w:val="28"/>
          <w:szCs w:val="28"/>
        </w:rPr>
      </w:pPr>
      <w:r>
        <w:rPr>
          <w:rFonts w:ascii="新宋体" w:eastAsia="新宋体" w:hAnsi="新宋体"/>
          <w:b/>
          <w:sz w:val="28"/>
          <w:szCs w:val="28"/>
        </w:rPr>
        <w:br w:type="column"/>
      </w:r>
      <w:r>
        <w:rPr>
          <w:rFonts w:ascii="新宋体" w:eastAsia="新宋体" w:hAnsi="新宋体" w:hint="eastAsia"/>
          <w:b/>
          <w:sz w:val="28"/>
          <w:szCs w:val="28"/>
        </w:rPr>
        <w:t>表</w:t>
      </w:r>
      <w:r>
        <w:rPr>
          <w:rFonts w:ascii="新宋体" w:eastAsia="新宋体" w:hAnsi="新宋体"/>
          <w:b/>
          <w:sz w:val="28"/>
          <w:szCs w:val="28"/>
        </w:rPr>
        <w:t xml:space="preserve">2.4 </w:t>
      </w:r>
      <w:r>
        <w:rPr>
          <w:rFonts w:ascii="新宋体" w:eastAsia="新宋体" w:hAnsi="新宋体" w:hint="eastAsia"/>
          <w:b/>
          <w:sz w:val="28"/>
          <w:szCs w:val="28"/>
        </w:rPr>
        <w:t>金属幕墙安全检查表</w:t>
      </w:r>
    </w:p>
    <w:tbl>
      <w:tblPr>
        <w:jc w:val="left"/>
        <w:tblInd w:w="0" w:type="dxa"/>
        <w:tblW w:w="9243"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788"/>
        <w:gridCol w:w="496"/>
        <w:gridCol w:w="132"/>
        <w:gridCol w:w="1311"/>
        <w:gridCol w:w="920"/>
        <w:gridCol w:w="785"/>
        <w:gridCol w:w="80"/>
        <w:gridCol w:w="1076"/>
        <w:gridCol w:w="412"/>
        <w:gridCol w:w="281"/>
        <w:gridCol w:w="348"/>
        <w:gridCol w:w="177"/>
        <w:gridCol w:w="656"/>
        <w:gridCol w:w="482"/>
        <w:gridCol w:w="185"/>
        <w:gridCol w:w="1114"/>
      </w:tblGrid>
      <w:tr>
        <w:trPr>
          <w:trHeight w:val="459"/>
        </w:trPr>
        <w:tc>
          <w:tcPr>
            <w:tcW w:w="1416" w:type="dxa"/>
            <w:gridSpan w:val="3"/>
            <w:tcBorders>
              <w:top w:val="single" w:sz="12"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建筑名称</w:t>
            </w:r>
          </w:p>
        </w:tc>
        <w:tc>
          <w:tcPr>
            <w:tcW w:w="3016" w:type="dxa"/>
            <w:gridSpan w:val="3"/>
            <w:tcBorders>
              <w:top w:val="single" w:sz="12" w:space="0" w:color="000000"/>
            </w:tcBorders>
            <w:vAlign w:val="center"/>
          </w:tcPr>
          <w:p>
            <w:pPr>
              <w:pStyle w:val="16"/>
              <w:jc w:val="both"/>
              <w:rPr>
                <w:rFonts w:ascii="仿宋" w:eastAsia="仿宋" w:cs="Times New Roman" w:hAnsi="仿宋"/>
                <w:color w:val="auto"/>
              </w:rPr>
            </w:pPr>
          </w:p>
        </w:tc>
        <w:tc>
          <w:tcPr>
            <w:tcW w:w="1156" w:type="dxa"/>
            <w:gridSpan w:val="2"/>
            <w:tcBorders>
              <w:top w:val="single" w:sz="12"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检查日期</w:t>
            </w:r>
          </w:p>
        </w:tc>
        <w:tc>
          <w:tcPr>
            <w:tcW w:w="1041" w:type="dxa"/>
            <w:gridSpan w:val="3"/>
            <w:tcBorders>
              <w:top w:val="single" w:sz="12" w:space="0" w:color="000000"/>
            </w:tcBorders>
            <w:vAlign w:val="center"/>
          </w:tcPr>
          <w:p>
            <w:pPr>
              <w:pStyle w:val="16"/>
              <w:jc w:val="both"/>
              <w:rPr>
                <w:rFonts w:ascii="仿宋" w:eastAsia="仿宋" w:cs="Times New Roman" w:hAnsi="仿宋"/>
                <w:color w:val="auto"/>
              </w:rPr>
            </w:pPr>
          </w:p>
        </w:tc>
        <w:tc>
          <w:tcPr>
            <w:tcW w:w="1315" w:type="dxa"/>
            <w:gridSpan w:val="3"/>
            <w:tcBorders>
              <w:top w:val="single" w:sz="12"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使用年限</w:t>
            </w:r>
          </w:p>
        </w:tc>
        <w:tc>
          <w:tcPr>
            <w:tcW w:w="1296" w:type="dxa"/>
            <w:gridSpan w:val="2"/>
            <w:tcBorders>
              <w:top w:val="single" w:sz="12" w:space="0" w:color="000000"/>
            </w:tcBorders>
            <w:vAlign w:val="center"/>
          </w:tcPr>
          <w:p>
            <w:pPr>
              <w:pStyle w:val="16"/>
              <w:jc w:val="both"/>
              <w:rPr>
                <w:rFonts w:ascii="仿宋" w:eastAsia="仿宋" w:cs="Times New Roman" w:hAnsi="仿宋"/>
                <w:color w:val="auto"/>
              </w:rPr>
            </w:pPr>
          </w:p>
        </w:tc>
      </w:tr>
      <w:tr>
        <w:trPr>
          <w:trHeight w:val="459"/>
        </w:trPr>
        <w:tc>
          <w:tcPr>
            <w:tcW w:w="1416" w:type="dxa"/>
            <w:gridSpan w:val="3"/>
            <w:vMerge w:val="restart"/>
            <w:vAlign w:val="center"/>
          </w:tcPr>
          <w:p>
            <w:pPr>
              <w:pStyle w:val="16"/>
              <w:jc w:val="both"/>
              <w:rPr>
                <w:rFonts w:ascii="仿宋" w:eastAsia="仿宋" w:cs="Times New Roman" w:hAnsi="仿宋"/>
                <w:color w:val="auto"/>
              </w:rPr>
            </w:pPr>
            <w:r>
              <w:rPr>
                <w:rFonts w:ascii="仿宋" w:eastAsia="仿宋" w:cs="Times New Roman" w:hAnsi="仿宋" w:hint="eastAsia"/>
                <w:color w:val="auto"/>
              </w:rPr>
              <w:t>幕墙类型</w:t>
            </w:r>
          </w:p>
        </w:tc>
        <w:tc>
          <w:tcPr>
            <w:tcW w:w="1311" w:type="dxa"/>
            <w:vMerge w:val="restart"/>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金属幕墙</w:t>
            </w:r>
          </w:p>
        </w:tc>
        <w:tc>
          <w:tcPr>
            <w:tcW w:w="920"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材料</w:t>
            </w:r>
          </w:p>
        </w:tc>
        <w:tc>
          <w:tcPr>
            <w:tcW w:w="5594" w:type="dxa"/>
            <w:gridSpan w:val="11"/>
            <w:vAlign w:val="center"/>
          </w:tcPr>
          <w:p>
            <w:pPr>
              <w:pStyle w:val="16"/>
              <w:jc w:val="both"/>
              <w:rPr>
                <w:rFonts w:ascii="仿宋" w:eastAsia="仿宋" w:cs="Times New Roman" w:hAnsi="仿宋"/>
                <w:color w:val="auto"/>
              </w:rPr>
            </w:pPr>
            <w:r>
              <w:rPr>
                <w:rFonts w:ascii="仿宋" w:eastAsia="仿宋" w:cs="Times New Roman" w:hAnsi="仿宋" w:hint="eastAsia"/>
                <w:color w:val="auto"/>
              </w:rPr>
              <w:t>材料：□铝单板□蜂窝铝板□复合铝板□搪瓷板□其他</w:t>
            </w:r>
          </w:p>
        </w:tc>
      </w:tr>
      <w:tr>
        <w:trPr>
          <w:trHeight w:val="459"/>
        </w:trPr>
        <w:tc>
          <w:tcPr>
            <w:tcW w:w="1416" w:type="dxa"/>
            <w:gridSpan w:val="3"/>
            <w:vMerge/>
            <w:vAlign w:val="center"/>
          </w:tcPr>
          <w:p/>
        </w:tc>
        <w:tc>
          <w:tcPr>
            <w:tcW w:w="1311" w:type="dxa"/>
            <w:vMerge/>
            <w:tcBorders>
              <w:top w:val="single" w:sz="6" w:space="0" w:color="000000"/>
              <w:left w:val="single" w:sz="6" w:space="0" w:color="000000"/>
              <w:right w:val="single" w:sz="6" w:space="0" w:color="000000"/>
            </w:tcBorders>
            <w:vAlign w:val="center"/>
          </w:tcPr>
          <w:p/>
        </w:tc>
        <w:tc>
          <w:tcPr>
            <w:tcW w:w="920"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构造</w:t>
            </w:r>
          </w:p>
        </w:tc>
        <w:tc>
          <w:tcPr>
            <w:tcW w:w="5594" w:type="dxa"/>
            <w:gridSpan w:val="11"/>
            <w:vAlign w:val="center"/>
          </w:tcPr>
          <w:p>
            <w:pPr>
              <w:pStyle w:val="16"/>
              <w:jc w:val="both"/>
              <w:rPr>
                <w:rFonts w:ascii="仿宋" w:eastAsia="仿宋" w:cs="Times New Roman" w:hAnsi="仿宋"/>
                <w:color w:val="auto"/>
              </w:rPr>
            </w:pPr>
            <w:r>
              <w:rPr>
                <w:rFonts w:ascii="仿宋" w:eastAsia="仿宋" w:cs="Times New Roman" w:hAnsi="仿宋" w:hint="eastAsia"/>
                <w:color w:val="auto"/>
              </w:rPr>
              <w:t>构造：□封闭式□开放式</w:t>
            </w:r>
          </w:p>
        </w:tc>
      </w:tr>
      <w:tr>
        <w:trPr>
          <w:trHeight w:val="459"/>
        </w:trPr>
        <w:tc>
          <w:tcPr>
            <w:tcW w:w="788" w:type="dxa"/>
            <w:vAlign w:val="center"/>
          </w:tcPr>
          <w:p>
            <w:pPr>
              <w:pStyle w:val="16"/>
              <w:jc w:val="both"/>
              <w:rPr>
                <w:rFonts w:ascii="仿宋" w:eastAsia="仿宋" w:cs="Times New Roman" w:hAnsi="仿宋"/>
                <w:color w:val="auto"/>
              </w:rPr>
            </w:pPr>
            <w:r>
              <w:rPr>
                <w:rFonts w:ascii="仿宋" w:eastAsia="仿宋" w:cs="Times New Roman" w:hAnsi="仿宋" w:hint="eastAsia"/>
                <w:color w:val="auto"/>
              </w:rPr>
              <w:t>项目</w:t>
            </w:r>
          </w:p>
        </w:tc>
        <w:tc>
          <w:tcPr>
            <w:tcW w:w="6018" w:type="dxa"/>
            <w:gridSpan w:val="11"/>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安全隐患</w:t>
            </w:r>
          </w:p>
        </w:tc>
        <w:tc>
          <w:tcPr>
            <w:tcW w:w="656"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立面</w:t>
            </w:r>
          </w:p>
        </w:tc>
        <w:tc>
          <w:tcPr>
            <w:tcW w:w="667"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数量</w:t>
            </w:r>
          </w:p>
        </w:tc>
        <w:tc>
          <w:tcPr>
            <w:tcW w:w="1112" w:type="dxa"/>
            <w:vAlign w:val="center"/>
          </w:tcPr>
          <w:p>
            <w:pPr>
              <w:pStyle w:val="16"/>
              <w:jc w:val="both"/>
              <w:rPr>
                <w:rFonts w:ascii="仿宋" w:eastAsia="仿宋" w:cs="Times New Roman" w:hAnsi="仿宋"/>
                <w:color w:val="auto"/>
              </w:rPr>
            </w:pPr>
            <w:r>
              <w:rPr>
                <w:rFonts w:ascii="仿宋" w:eastAsia="仿宋" w:cs="Times New Roman" w:hAnsi="仿宋" w:hint="eastAsia"/>
                <w:color w:val="auto"/>
              </w:rPr>
              <w:t>照片编号</w:t>
            </w:r>
          </w:p>
        </w:tc>
      </w:tr>
      <w:tr>
        <w:trPr>
          <w:trHeight w:val="459"/>
        </w:trPr>
        <w:tc>
          <w:tcPr>
            <w:tcW w:w="788" w:type="dxa"/>
            <w:vMerge w:val="restart"/>
            <w:vAlign w:val="center"/>
          </w:tcPr>
          <w:p>
            <w:pPr>
              <w:pStyle w:val="16"/>
              <w:jc w:val="both"/>
              <w:rPr>
                <w:rFonts w:ascii="仿宋" w:eastAsia="仿宋" w:cs="Times New Roman" w:hAnsi="仿宋"/>
                <w:color w:val="auto"/>
              </w:rPr>
            </w:pPr>
            <w:r>
              <w:rPr>
                <w:rFonts w:ascii="仿宋" w:eastAsia="仿宋" w:cs="Times New Roman" w:hAnsi="仿宋" w:hint="eastAsia"/>
                <w:color w:val="auto"/>
              </w:rPr>
              <w:t>幕墙</w:t>
            </w:r>
          </w:p>
          <w:p>
            <w:pPr>
              <w:pStyle w:val="16"/>
              <w:jc w:val="both"/>
              <w:rPr>
                <w:rFonts w:ascii="仿宋" w:eastAsia="仿宋" w:cs="Times New Roman" w:hAnsi="仿宋"/>
                <w:color w:val="auto"/>
              </w:rPr>
            </w:pPr>
            <w:r>
              <w:rPr>
                <w:rFonts w:ascii="仿宋" w:eastAsia="仿宋" w:cs="Times New Roman" w:hAnsi="仿宋" w:hint="eastAsia"/>
                <w:color w:val="auto"/>
              </w:rPr>
              <w:t>面板</w:t>
            </w:r>
          </w:p>
        </w:tc>
        <w:tc>
          <w:tcPr>
            <w:tcW w:w="5493"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面板有划痕、起鼓、变形</w:t>
            </w:r>
          </w:p>
        </w:tc>
        <w:tc>
          <w:tcPr>
            <w:tcW w:w="525"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56"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7"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12" w:type="dxa"/>
            <w:vAlign w:val="center"/>
          </w:tcPr>
          <w:p>
            <w:pPr>
              <w:pStyle w:val="16"/>
              <w:jc w:val="both"/>
              <w:rPr>
                <w:rFonts w:ascii="仿宋" w:eastAsia="仿宋" w:cs="Times New Roman" w:hAnsi="仿宋"/>
                <w:color w:val="auto"/>
              </w:rPr>
            </w:pPr>
          </w:p>
        </w:tc>
      </w:tr>
      <w:tr>
        <w:trPr>
          <w:trHeight w:val="459"/>
        </w:trPr>
        <w:tc>
          <w:tcPr>
            <w:tcW w:w="788" w:type="dxa"/>
            <w:vMerge/>
            <w:vAlign w:val="center"/>
          </w:tcPr>
          <w:p/>
        </w:tc>
        <w:tc>
          <w:tcPr>
            <w:tcW w:w="5493"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面板有缺损、坠落</w:t>
            </w:r>
          </w:p>
        </w:tc>
        <w:tc>
          <w:tcPr>
            <w:tcW w:w="525"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56"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7"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12" w:type="dxa"/>
            <w:vAlign w:val="center"/>
          </w:tcPr>
          <w:p>
            <w:pPr>
              <w:pStyle w:val="16"/>
              <w:jc w:val="both"/>
              <w:rPr>
                <w:rFonts w:ascii="仿宋" w:eastAsia="仿宋" w:cs="Times New Roman" w:hAnsi="仿宋"/>
                <w:color w:val="auto"/>
              </w:rPr>
            </w:pPr>
          </w:p>
        </w:tc>
      </w:tr>
      <w:tr>
        <w:trPr>
          <w:trHeight w:val="459"/>
        </w:trPr>
        <w:tc>
          <w:tcPr>
            <w:tcW w:w="788" w:type="dxa"/>
            <w:vMerge/>
            <w:vAlign w:val="center"/>
          </w:tcPr>
          <w:p/>
        </w:tc>
        <w:tc>
          <w:tcPr>
            <w:tcW w:w="5493"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面板有松动、松脱、剥离等</w:t>
            </w:r>
          </w:p>
        </w:tc>
        <w:tc>
          <w:tcPr>
            <w:tcW w:w="525"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56"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7"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12" w:type="dxa"/>
            <w:vAlign w:val="center"/>
          </w:tcPr>
          <w:p>
            <w:pPr>
              <w:pStyle w:val="16"/>
              <w:jc w:val="both"/>
              <w:rPr>
                <w:rFonts w:ascii="仿宋" w:eastAsia="仿宋" w:cs="Times New Roman" w:hAnsi="仿宋"/>
                <w:color w:val="auto"/>
              </w:rPr>
            </w:pPr>
          </w:p>
        </w:tc>
      </w:tr>
      <w:tr>
        <w:trPr>
          <w:trHeight w:val="459"/>
        </w:trPr>
        <w:tc>
          <w:tcPr>
            <w:tcW w:w="788" w:type="dxa"/>
            <w:vMerge/>
            <w:vAlign w:val="center"/>
          </w:tcPr>
          <w:p/>
        </w:tc>
        <w:tc>
          <w:tcPr>
            <w:tcW w:w="5493"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4.</w:t>
            </w:r>
            <w:r>
              <w:rPr>
                <w:rFonts w:ascii="仿宋" w:eastAsia="仿宋" w:hAnsi="仿宋" w:hint="eastAsia"/>
                <w:sz w:val="24"/>
                <w:szCs w:val="24"/>
              </w:rPr>
              <w:t>面板之间有不正常挤压、错位或变形</w:t>
            </w:r>
          </w:p>
        </w:tc>
        <w:tc>
          <w:tcPr>
            <w:tcW w:w="525"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56"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7"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12" w:type="dxa"/>
            <w:vAlign w:val="center"/>
          </w:tcPr>
          <w:p>
            <w:pPr>
              <w:pStyle w:val="16"/>
              <w:jc w:val="both"/>
              <w:rPr>
                <w:rFonts w:ascii="仿宋" w:eastAsia="仿宋" w:cs="Times New Roman" w:hAnsi="仿宋"/>
                <w:color w:val="auto"/>
              </w:rPr>
            </w:pPr>
          </w:p>
        </w:tc>
      </w:tr>
      <w:tr>
        <w:trPr>
          <w:trHeight w:val="459"/>
        </w:trPr>
        <w:tc>
          <w:tcPr>
            <w:tcW w:w="788" w:type="dxa"/>
            <w:vMerge w:val="restart"/>
            <w:vAlign w:val="center"/>
          </w:tcPr>
          <w:p>
            <w:pPr>
              <w:pStyle w:val="16"/>
              <w:jc w:val="both"/>
              <w:rPr>
                <w:rFonts w:ascii="仿宋" w:eastAsia="仿宋" w:cs="Times New Roman" w:hAnsi="仿宋"/>
                <w:color w:val="auto"/>
              </w:rPr>
            </w:pPr>
            <w:r>
              <w:rPr>
                <w:rFonts w:ascii="仿宋" w:eastAsia="仿宋" w:cs="Times New Roman" w:hAnsi="仿宋" w:hint="eastAsia"/>
                <w:color w:val="auto"/>
              </w:rPr>
              <w:t>室外</w:t>
            </w:r>
          </w:p>
          <w:p>
            <w:pPr>
              <w:pStyle w:val="16"/>
              <w:jc w:val="both"/>
              <w:rPr>
                <w:rFonts w:ascii="仿宋" w:eastAsia="仿宋" w:cs="Times New Roman" w:hAnsi="仿宋"/>
                <w:color w:val="auto"/>
              </w:rPr>
            </w:pPr>
            <w:r>
              <w:rPr>
                <w:rFonts w:ascii="仿宋" w:eastAsia="仿宋" w:cs="Times New Roman" w:hAnsi="仿宋" w:hint="eastAsia"/>
                <w:color w:val="auto"/>
              </w:rPr>
              <w:t>装饰</w:t>
            </w:r>
          </w:p>
          <w:p>
            <w:pPr>
              <w:pStyle w:val="16"/>
              <w:jc w:val="both"/>
              <w:rPr>
                <w:rFonts w:ascii="仿宋" w:eastAsia="仿宋" w:cs="Times New Roman" w:hAnsi="仿宋"/>
                <w:color w:val="auto"/>
              </w:rPr>
            </w:pPr>
            <w:r>
              <w:rPr>
                <w:rFonts w:ascii="仿宋" w:eastAsia="仿宋" w:cs="Times New Roman" w:hAnsi="仿宋" w:hint="eastAsia"/>
                <w:color w:val="auto"/>
              </w:rPr>
              <w:t>构件</w:t>
            </w:r>
          </w:p>
        </w:tc>
        <w:tc>
          <w:tcPr>
            <w:tcW w:w="5493"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构件有破碎、破裂等</w:t>
            </w:r>
          </w:p>
        </w:tc>
        <w:tc>
          <w:tcPr>
            <w:tcW w:w="525"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56"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7"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12" w:type="dxa"/>
            <w:vAlign w:val="center"/>
          </w:tcPr>
          <w:p>
            <w:pPr>
              <w:pStyle w:val="16"/>
              <w:jc w:val="both"/>
              <w:rPr>
                <w:rFonts w:ascii="仿宋" w:eastAsia="仿宋" w:cs="Times New Roman" w:hAnsi="仿宋"/>
                <w:color w:val="auto"/>
              </w:rPr>
            </w:pPr>
          </w:p>
        </w:tc>
      </w:tr>
      <w:tr>
        <w:trPr>
          <w:trHeight w:val="459"/>
        </w:trPr>
        <w:tc>
          <w:tcPr>
            <w:tcW w:w="788" w:type="dxa"/>
            <w:vMerge/>
            <w:vAlign w:val="center"/>
          </w:tcPr>
          <w:p/>
        </w:tc>
        <w:tc>
          <w:tcPr>
            <w:tcW w:w="5493"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构件有松动、松脱、裂纹等</w:t>
            </w:r>
          </w:p>
        </w:tc>
        <w:tc>
          <w:tcPr>
            <w:tcW w:w="525"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56"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7"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12" w:type="dxa"/>
            <w:vAlign w:val="center"/>
          </w:tcPr>
          <w:p>
            <w:pPr>
              <w:pStyle w:val="16"/>
              <w:jc w:val="both"/>
              <w:rPr>
                <w:rFonts w:ascii="仿宋" w:eastAsia="仿宋" w:cs="Times New Roman" w:hAnsi="仿宋"/>
                <w:color w:val="auto"/>
              </w:rPr>
            </w:pPr>
          </w:p>
        </w:tc>
      </w:tr>
      <w:tr>
        <w:trPr>
          <w:trHeight w:val="459"/>
        </w:trPr>
        <w:tc>
          <w:tcPr>
            <w:tcW w:w="788" w:type="dxa"/>
            <w:vMerge/>
            <w:vAlign w:val="center"/>
          </w:tcPr>
          <w:p/>
        </w:tc>
        <w:tc>
          <w:tcPr>
            <w:tcW w:w="5493"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构件有不正常挤压、错位</w:t>
            </w:r>
          </w:p>
        </w:tc>
        <w:tc>
          <w:tcPr>
            <w:tcW w:w="525"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56"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7"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12" w:type="dxa"/>
            <w:vAlign w:val="center"/>
          </w:tcPr>
          <w:p>
            <w:pPr>
              <w:pStyle w:val="16"/>
              <w:jc w:val="both"/>
              <w:rPr>
                <w:rFonts w:ascii="仿宋" w:eastAsia="仿宋" w:cs="Times New Roman" w:hAnsi="仿宋"/>
                <w:color w:val="auto"/>
              </w:rPr>
            </w:pPr>
          </w:p>
        </w:tc>
      </w:tr>
      <w:tr>
        <w:trPr>
          <w:trHeight w:val="459"/>
        </w:trPr>
        <w:tc>
          <w:tcPr>
            <w:tcW w:w="788" w:type="dxa"/>
            <w:vMerge w:val="restart"/>
            <w:vAlign w:val="center"/>
          </w:tcPr>
          <w:p>
            <w:pPr>
              <w:pStyle w:val="16"/>
              <w:jc w:val="both"/>
              <w:rPr>
                <w:rFonts w:ascii="仿宋" w:eastAsia="仿宋" w:cs="Times New Roman" w:hAnsi="仿宋"/>
                <w:color w:val="auto"/>
              </w:rPr>
            </w:pPr>
            <w:r>
              <w:rPr>
                <w:rFonts w:ascii="仿宋" w:eastAsia="仿宋" w:cs="Times New Roman" w:hAnsi="仿宋" w:hint="eastAsia"/>
                <w:color w:val="auto"/>
              </w:rPr>
              <w:t>受力</w:t>
            </w:r>
          </w:p>
          <w:p>
            <w:pPr>
              <w:pStyle w:val="16"/>
              <w:jc w:val="both"/>
              <w:rPr>
                <w:rFonts w:ascii="仿宋" w:eastAsia="仿宋" w:cs="Times New Roman" w:hAnsi="仿宋"/>
                <w:color w:val="auto"/>
              </w:rPr>
            </w:pPr>
            <w:r>
              <w:rPr>
                <w:rFonts w:ascii="仿宋" w:eastAsia="仿宋" w:cs="Times New Roman" w:hAnsi="仿宋" w:hint="eastAsia"/>
                <w:color w:val="auto"/>
              </w:rPr>
              <w:t>构件</w:t>
            </w:r>
          </w:p>
        </w:tc>
        <w:tc>
          <w:tcPr>
            <w:tcW w:w="5493"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埋件连接松动、位移、脱落、开焊或严重锈蚀；</w:t>
            </w:r>
          </w:p>
        </w:tc>
        <w:tc>
          <w:tcPr>
            <w:tcW w:w="525"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56"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7"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12" w:type="dxa"/>
            <w:vAlign w:val="center"/>
          </w:tcPr>
          <w:p>
            <w:pPr>
              <w:pStyle w:val="16"/>
              <w:jc w:val="both"/>
              <w:rPr>
                <w:rFonts w:ascii="仿宋" w:eastAsia="仿宋" w:cs="Times New Roman" w:hAnsi="仿宋"/>
                <w:color w:val="auto"/>
              </w:rPr>
            </w:pPr>
          </w:p>
        </w:tc>
      </w:tr>
      <w:tr>
        <w:trPr>
          <w:trHeight w:val="459"/>
        </w:trPr>
        <w:tc>
          <w:tcPr>
            <w:tcW w:w="788" w:type="dxa"/>
            <w:vMerge/>
            <w:vAlign w:val="center"/>
          </w:tcPr>
          <w:p/>
        </w:tc>
        <w:tc>
          <w:tcPr>
            <w:tcW w:w="5493"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与主体结构连接组件有损坏，松动、缺失或严重锈蚀</w:t>
            </w:r>
          </w:p>
        </w:tc>
        <w:tc>
          <w:tcPr>
            <w:tcW w:w="525"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56"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7"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12" w:type="dxa"/>
            <w:vAlign w:val="center"/>
          </w:tcPr>
          <w:p>
            <w:pPr>
              <w:pStyle w:val="16"/>
              <w:jc w:val="both"/>
              <w:rPr>
                <w:rFonts w:ascii="仿宋" w:eastAsia="仿宋" w:cs="Times New Roman" w:hAnsi="仿宋"/>
                <w:color w:val="auto"/>
              </w:rPr>
            </w:pPr>
          </w:p>
        </w:tc>
      </w:tr>
      <w:tr>
        <w:trPr>
          <w:trHeight w:val="459"/>
        </w:trPr>
        <w:tc>
          <w:tcPr>
            <w:tcW w:w="788" w:type="dxa"/>
            <w:vMerge/>
            <w:vAlign w:val="center"/>
          </w:tcPr>
          <w:p/>
        </w:tc>
        <w:tc>
          <w:tcPr>
            <w:tcW w:w="5493"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立柱、横梁连接松动、变形或严重锈蚀</w:t>
            </w:r>
          </w:p>
        </w:tc>
        <w:tc>
          <w:tcPr>
            <w:tcW w:w="525"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56"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7"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12" w:type="dxa"/>
            <w:vAlign w:val="center"/>
          </w:tcPr>
          <w:p>
            <w:pPr>
              <w:pStyle w:val="16"/>
              <w:jc w:val="both"/>
              <w:rPr>
                <w:rFonts w:ascii="仿宋" w:eastAsia="仿宋" w:cs="Times New Roman" w:hAnsi="仿宋"/>
                <w:color w:val="auto"/>
              </w:rPr>
            </w:pPr>
          </w:p>
        </w:tc>
      </w:tr>
      <w:tr>
        <w:trPr>
          <w:trHeight w:val="459"/>
        </w:trPr>
        <w:tc>
          <w:tcPr>
            <w:tcW w:w="788" w:type="dxa"/>
            <w:vMerge w:val="restart"/>
            <w:vAlign w:val="center"/>
          </w:tcPr>
          <w:p>
            <w:pPr>
              <w:pStyle w:val="16"/>
              <w:jc w:val="both"/>
              <w:rPr>
                <w:rFonts w:ascii="仿宋" w:eastAsia="仿宋" w:cs="Times New Roman" w:hAnsi="仿宋"/>
                <w:color w:val="auto"/>
              </w:rPr>
            </w:pPr>
            <w:r>
              <w:rPr>
                <w:rFonts w:ascii="仿宋" w:eastAsia="仿宋" w:cs="Times New Roman" w:hAnsi="仿宋" w:hint="eastAsia"/>
                <w:color w:val="auto"/>
              </w:rPr>
              <w:t>雨水</w:t>
            </w:r>
          </w:p>
          <w:p>
            <w:pPr>
              <w:pStyle w:val="16"/>
              <w:jc w:val="both"/>
              <w:rPr>
                <w:rFonts w:ascii="仿宋" w:eastAsia="仿宋" w:cs="Times New Roman" w:hAnsi="仿宋"/>
                <w:color w:val="auto"/>
              </w:rPr>
            </w:pPr>
            <w:r>
              <w:rPr>
                <w:rFonts w:ascii="仿宋" w:eastAsia="仿宋" w:cs="Times New Roman" w:hAnsi="仿宋" w:hint="eastAsia"/>
                <w:color w:val="auto"/>
              </w:rPr>
              <w:t>渗漏</w:t>
            </w:r>
          </w:p>
        </w:tc>
        <w:tc>
          <w:tcPr>
            <w:tcW w:w="5493"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密封胶有硬化、起泡、脱胶、开裂等</w:t>
            </w:r>
          </w:p>
        </w:tc>
        <w:tc>
          <w:tcPr>
            <w:tcW w:w="525"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56"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7"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12" w:type="dxa"/>
            <w:vAlign w:val="center"/>
          </w:tcPr>
          <w:p>
            <w:pPr>
              <w:pStyle w:val="16"/>
              <w:jc w:val="both"/>
              <w:rPr>
                <w:rFonts w:ascii="仿宋" w:eastAsia="仿宋" w:cs="Times New Roman" w:hAnsi="仿宋"/>
                <w:color w:val="auto"/>
              </w:rPr>
            </w:pPr>
          </w:p>
        </w:tc>
      </w:tr>
      <w:tr>
        <w:trPr>
          <w:trHeight w:val="459"/>
        </w:trPr>
        <w:tc>
          <w:tcPr>
            <w:tcW w:w="788" w:type="dxa"/>
            <w:vMerge/>
            <w:vAlign w:val="center"/>
          </w:tcPr>
          <w:p/>
        </w:tc>
        <w:tc>
          <w:tcPr>
            <w:tcW w:w="5493"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开放式幕墙未设镀锌板等防风雨措施</w:t>
            </w:r>
          </w:p>
        </w:tc>
        <w:tc>
          <w:tcPr>
            <w:tcW w:w="525"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56"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7"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12" w:type="dxa"/>
            <w:vAlign w:val="center"/>
          </w:tcPr>
          <w:p>
            <w:pPr>
              <w:pStyle w:val="16"/>
              <w:jc w:val="both"/>
              <w:rPr>
                <w:rFonts w:ascii="仿宋" w:eastAsia="仿宋" w:cs="Times New Roman" w:hAnsi="仿宋"/>
                <w:color w:val="auto"/>
              </w:rPr>
            </w:pPr>
          </w:p>
        </w:tc>
      </w:tr>
      <w:tr>
        <w:trPr>
          <w:trHeight w:val="459"/>
        </w:trPr>
        <w:tc>
          <w:tcPr>
            <w:tcW w:w="788" w:type="dxa"/>
            <w:vMerge w:val="restart"/>
            <w:vAlign w:val="center"/>
          </w:tcPr>
          <w:p>
            <w:pPr>
              <w:jc w:val="center"/>
              <w:rPr>
                <w:rFonts w:ascii="仿宋" w:eastAsia="仿宋" w:hAnsi="仿宋"/>
                <w:sz w:val="24"/>
                <w:szCs w:val="24"/>
              </w:rPr>
            </w:pPr>
            <w:r>
              <w:rPr>
                <w:rFonts w:ascii="仿宋" w:eastAsia="仿宋" w:hAnsi="仿宋" w:hint="eastAsia"/>
                <w:sz w:val="24"/>
                <w:szCs w:val="24"/>
              </w:rPr>
              <w:t>拆改</w:t>
            </w:r>
          </w:p>
          <w:p>
            <w:pPr>
              <w:pStyle w:val="16"/>
              <w:jc w:val="both"/>
              <w:rPr>
                <w:rFonts w:ascii="仿宋" w:eastAsia="仿宋" w:cs="Times New Roman" w:hAnsi="仿宋"/>
                <w:color w:val="auto"/>
              </w:rPr>
            </w:pPr>
            <w:r>
              <w:rPr>
                <w:rFonts w:ascii="仿宋" w:eastAsia="仿宋" w:hAnsi="仿宋" w:hint="eastAsia"/>
                <w:color w:val="auto"/>
              </w:rPr>
              <w:t>部位</w:t>
            </w:r>
          </w:p>
        </w:tc>
        <w:tc>
          <w:tcPr>
            <w:tcW w:w="5493"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受力构件、连接构造被拆卸、更改等现象</w:t>
            </w:r>
          </w:p>
        </w:tc>
        <w:tc>
          <w:tcPr>
            <w:tcW w:w="525"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56"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7"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12" w:type="dxa"/>
            <w:vAlign w:val="center"/>
          </w:tcPr>
          <w:p>
            <w:pPr>
              <w:pStyle w:val="16"/>
              <w:jc w:val="both"/>
              <w:rPr>
                <w:rFonts w:ascii="仿宋" w:eastAsia="仿宋" w:cs="Times New Roman" w:hAnsi="仿宋"/>
                <w:color w:val="auto"/>
              </w:rPr>
            </w:pPr>
          </w:p>
        </w:tc>
      </w:tr>
      <w:tr>
        <w:trPr>
          <w:trHeight w:val="459"/>
        </w:trPr>
        <w:tc>
          <w:tcPr>
            <w:tcW w:w="788" w:type="dxa"/>
            <w:vMerge/>
            <w:vAlign w:val="center"/>
          </w:tcPr>
          <w:p/>
        </w:tc>
        <w:tc>
          <w:tcPr>
            <w:tcW w:w="5493"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防火封堵和防雷连接被拆卸、更改等现象</w:t>
            </w:r>
          </w:p>
        </w:tc>
        <w:tc>
          <w:tcPr>
            <w:tcW w:w="525"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56"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7"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12" w:type="dxa"/>
            <w:vAlign w:val="center"/>
          </w:tcPr>
          <w:p>
            <w:pPr>
              <w:pStyle w:val="16"/>
              <w:jc w:val="both"/>
              <w:rPr>
                <w:rFonts w:ascii="仿宋" w:eastAsia="仿宋" w:cs="Times New Roman" w:hAnsi="仿宋"/>
                <w:color w:val="auto"/>
              </w:rPr>
            </w:pPr>
          </w:p>
        </w:tc>
      </w:tr>
      <w:tr>
        <w:trPr>
          <w:trHeight w:val="459"/>
        </w:trPr>
        <w:tc>
          <w:tcPr>
            <w:tcW w:w="788" w:type="dxa"/>
            <w:vMerge/>
            <w:vAlign w:val="center"/>
          </w:tcPr>
          <w:p/>
        </w:tc>
        <w:tc>
          <w:tcPr>
            <w:tcW w:w="5493"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擅自在幕墙上设置霓虹灯、招牌及广告等设施</w:t>
            </w:r>
          </w:p>
        </w:tc>
        <w:tc>
          <w:tcPr>
            <w:tcW w:w="525"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56"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7"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12" w:type="dxa"/>
            <w:vAlign w:val="center"/>
          </w:tcPr>
          <w:p>
            <w:pPr>
              <w:pStyle w:val="16"/>
              <w:jc w:val="both"/>
              <w:rPr>
                <w:rFonts w:ascii="仿宋" w:eastAsia="仿宋" w:cs="Times New Roman" w:hAnsi="仿宋"/>
                <w:color w:val="auto"/>
              </w:rPr>
            </w:pPr>
          </w:p>
        </w:tc>
      </w:tr>
      <w:tr>
        <w:trPr>
          <w:trHeight w:val="741"/>
        </w:trPr>
        <w:tc>
          <w:tcPr>
            <w:tcW w:w="9243" w:type="dxa"/>
            <w:gridSpan w:val="16"/>
            <w:vAlign w:val="center"/>
          </w:tcPr>
          <w:p>
            <w:pPr>
              <w:pStyle w:val="16"/>
              <w:spacing w:line="400" w:lineRule="exact"/>
              <w:jc w:val="both"/>
              <w:rPr>
                <w:rFonts w:ascii="仿宋" w:eastAsia="仿宋" w:cs="Times New Roman" w:hAnsi="仿宋"/>
                <w:color w:val="auto"/>
              </w:rPr>
            </w:pPr>
            <w:r>
              <w:rPr>
                <w:rFonts w:ascii="仿宋" w:eastAsia="仿宋" w:cs="Times New Roman" w:hAnsi="仿宋" w:hint="eastAsia"/>
                <w:color w:val="auto"/>
              </w:rPr>
              <w:t>备注：</w:t>
            </w:r>
          </w:p>
        </w:tc>
      </w:tr>
      <w:tr>
        <w:trPr>
          <w:trHeight w:val="459"/>
        </w:trPr>
        <w:tc>
          <w:tcPr>
            <w:tcW w:w="1284" w:type="dxa"/>
            <w:gridSpan w:val="2"/>
            <w:vAlign w:val="center"/>
          </w:tcPr>
          <w:p>
            <w:pPr>
              <w:pStyle w:val="16"/>
              <w:jc w:val="both"/>
              <w:rPr>
                <w:rFonts w:ascii="仿宋" w:eastAsia="仿宋" w:cs="Times New Roman" w:hAnsi="仿宋"/>
                <w:color w:val="auto"/>
              </w:rPr>
            </w:pPr>
            <w:r>
              <w:rPr>
                <w:rFonts w:ascii="仿宋" w:eastAsia="仿宋" w:cs="Times New Roman" w:hAnsi="仿宋" w:hint="eastAsia"/>
                <w:color w:val="auto"/>
              </w:rPr>
              <w:t>检查结论</w:t>
            </w:r>
          </w:p>
        </w:tc>
        <w:tc>
          <w:tcPr>
            <w:tcW w:w="7959" w:type="dxa"/>
            <w:gridSpan w:val="14"/>
            <w:vAlign w:val="center"/>
          </w:tcPr>
          <w:p>
            <w:pPr>
              <w:pStyle w:val="16"/>
              <w:jc w:val="both"/>
              <w:rPr>
                <w:rFonts w:ascii="仿宋" w:eastAsia="仿宋" w:cs="Times New Roman" w:hAnsi="仿宋"/>
                <w:color w:val="auto"/>
              </w:rPr>
            </w:pPr>
            <w:r>
              <w:rPr>
                <w:rFonts w:ascii="仿宋" w:eastAsia="仿宋" w:cs="Times New Roman" w:hAnsi="仿宋" w:hint="eastAsia"/>
                <w:color w:val="auto"/>
              </w:rPr>
              <w:t>□未发现明显安全隐患，加强日常维护管理。</w:t>
            </w:r>
            <w:r>
              <w:rPr>
                <w:rFonts w:ascii="仿宋" w:eastAsia="仿宋" w:cs="Times New Roman" w:hAnsi="仿宋"/>
                <w:color w:val="auto"/>
              </w:rPr>
              <w:t xml:space="preserve">.   </w:t>
            </w:r>
            <w:r>
              <w:rPr>
                <w:rFonts w:ascii="仿宋" w:eastAsia="仿宋" w:cs="Times New Roman" w:hAnsi="仿宋" w:hint="eastAsia"/>
                <w:color w:val="auto"/>
              </w:rPr>
              <w:t>□存在质量问题影响正常使用，委托专业单位进行维修或采取相应措施。□存在安全隐患，应委托专业单位进行安全性检测鉴定并采取相应措施。□幕墙存在严重安全隐患，应立即委托专业单位进行安全性检测鉴定，并立即采取解危措施，或建议拆除（停止使用）。</w:t>
            </w:r>
          </w:p>
        </w:tc>
      </w:tr>
      <w:tr>
        <w:trPr>
          <w:trHeight w:val="459"/>
        </w:trPr>
        <w:tc>
          <w:tcPr>
            <w:tcW w:w="1284" w:type="dxa"/>
            <w:gridSpan w:val="2"/>
            <w:vAlign w:val="center"/>
          </w:tcPr>
          <w:p>
            <w:pPr>
              <w:pStyle w:val="16"/>
              <w:jc w:val="both"/>
              <w:rPr>
                <w:rFonts w:ascii="仿宋" w:eastAsia="仿宋" w:cs="Times New Roman" w:hAnsi="仿宋"/>
                <w:color w:val="auto"/>
              </w:rPr>
            </w:pPr>
            <w:r>
              <w:rPr>
                <w:rFonts w:ascii="仿宋" w:eastAsia="仿宋" w:cs="Times New Roman" w:hAnsi="仿宋" w:hint="eastAsia"/>
                <w:color w:val="auto"/>
              </w:rPr>
              <w:t>检查单位</w:t>
            </w:r>
          </w:p>
        </w:tc>
        <w:tc>
          <w:tcPr>
            <w:tcW w:w="7959" w:type="dxa"/>
            <w:gridSpan w:val="14"/>
            <w:vAlign w:val="center"/>
          </w:tcPr>
          <w:p>
            <w:pPr>
              <w:pStyle w:val="16"/>
              <w:jc w:val="both"/>
              <w:rPr>
                <w:rFonts w:ascii="仿宋" w:eastAsia="仿宋" w:cs="Times New Roman" w:hAnsi="仿宋"/>
                <w:color w:val="auto"/>
              </w:rPr>
            </w:pPr>
          </w:p>
        </w:tc>
      </w:tr>
      <w:tr>
        <w:trPr>
          <w:trHeight w:val="459"/>
        </w:trPr>
        <w:tc>
          <w:tcPr>
            <w:tcW w:w="1284" w:type="dxa"/>
            <w:gridSpan w:val="2"/>
            <w:tcBorders>
              <w:bottom w:val="single" w:sz="12"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检查人</w:t>
            </w:r>
          </w:p>
        </w:tc>
        <w:tc>
          <w:tcPr>
            <w:tcW w:w="3228" w:type="dxa"/>
            <w:gridSpan w:val="5"/>
            <w:tcBorders>
              <w:bottom w:val="single" w:sz="12" w:space="0" w:color="000000"/>
            </w:tcBorders>
            <w:vAlign w:val="center"/>
          </w:tcPr>
          <w:p>
            <w:pPr>
              <w:pStyle w:val="16"/>
              <w:jc w:val="both"/>
              <w:rPr>
                <w:rFonts w:ascii="仿宋" w:eastAsia="仿宋" w:cs="Times New Roman" w:hAnsi="仿宋"/>
                <w:color w:val="auto"/>
              </w:rPr>
            </w:pPr>
          </w:p>
        </w:tc>
        <w:tc>
          <w:tcPr>
            <w:tcW w:w="1488" w:type="dxa"/>
            <w:gridSpan w:val="2"/>
            <w:tcBorders>
              <w:bottom w:val="single" w:sz="12"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审核人</w:t>
            </w:r>
          </w:p>
        </w:tc>
        <w:tc>
          <w:tcPr>
            <w:tcW w:w="3242" w:type="dxa"/>
            <w:gridSpan w:val="7"/>
            <w:tcBorders>
              <w:bottom w:val="single" w:sz="12" w:space="0" w:color="000000"/>
            </w:tcBorders>
            <w:vAlign w:val="center"/>
          </w:tcPr>
          <w:p>
            <w:pPr>
              <w:pStyle w:val="16"/>
              <w:jc w:val="both"/>
              <w:rPr>
                <w:rFonts w:ascii="仿宋" w:eastAsia="仿宋" w:cs="Times New Roman" w:hAnsi="仿宋"/>
                <w:color w:val="auto"/>
              </w:rPr>
            </w:pPr>
          </w:p>
        </w:tc>
      </w:tr>
    </w:tbl>
    <w:p>
      <w:pPr>
        <w:ind w:left="160" w:hangingChars="67" w:hanging="160"/>
        <w:jc w:val="center"/>
        <w:rPr>
          <w:rFonts w:ascii="宋体"/>
          <w:b/>
        </w:rPr>
      </w:pPr>
      <w:r>
        <w:rPr>
          <w:rFonts w:ascii="仿宋" w:eastAsia="仿宋" w:hAnsi="仿宋" w:hint="eastAsia"/>
          <w:sz w:val="24"/>
          <w:szCs w:val="24"/>
        </w:rPr>
        <w:t>监督单位：区街道：社区：</w:t>
      </w:r>
    </w:p>
    <w:p>
      <w:pPr>
        <w:ind w:left="187" w:hangingChars="67" w:hanging="187"/>
        <w:jc w:val="center"/>
        <w:rPr>
          <w:rFonts w:ascii="新宋体" w:eastAsia="新宋体" w:hAnsi="新宋体"/>
          <w:b/>
          <w:sz w:val="28"/>
          <w:szCs w:val="28"/>
        </w:rPr>
      </w:pPr>
      <w:r>
        <w:rPr>
          <w:rFonts w:ascii="新宋体" w:eastAsia="新宋体" w:hAnsi="新宋体" w:hint="eastAsia"/>
          <w:b/>
          <w:sz w:val="28"/>
          <w:szCs w:val="28"/>
        </w:rPr>
        <w:t>表</w:t>
      </w:r>
      <w:r>
        <w:rPr>
          <w:rFonts w:ascii="新宋体" w:eastAsia="新宋体" w:hAnsi="新宋体"/>
          <w:b/>
          <w:sz w:val="28"/>
          <w:szCs w:val="28"/>
        </w:rPr>
        <w:t xml:space="preserve">2.5 </w:t>
      </w:r>
      <w:r>
        <w:rPr>
          <w:rFonts w:ascii="新宋体" w:eastAsia="新宋体" w:hAnsi="新宋体" w:hint="eastAsia"/>
          <w:b/>
          <w:sz w:val="28"/>
          <w:szCs w:val="28"/>
        </w:rPr>
        <w:t>人造板幕墙安全检查表</w:t>
      </w:r>
    </w:p>
    <w:tbl>
      <w:tblPr>
        <w:jc w:val="left"/>
        <w:tblInd w:w="0" w:type="dxa"/>
        <w:tblW w:w="928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top w:w="0" w:type="dxa"/>
          <w:left w:w="108" w:type="dxa"/>
          <w:bottom w:w="0" w:type="dxa"/>
          <w:right w:w="108" w:type="dxa"/>
        </w:tblCellMar>
      </w:tblPr>
      <w:tblGrid>
        <w:gridCol w:w="761"/>
        <w:gridCol w:w="524"/>
        <w:gridCol w:w="6"/>
        <w:gridCol w:w="1458"/>
        <w:gridCol w:w="795"/>
        <w:gridCol w:w="258"/>
        <w:gridCol w:w="511"/>
        <w:gridCol w:w="683"/>
        <w:gridCol w:w="919"/>
        <w:gridCol w:w="397"/>
        <w:gridCol w:w="528"/>
        <w:gridCol w:w="660"/>
        <w:gridCol w:w="410"/>
        <w:gridCol w:w="252"/>
        <w:gridCol w:w="1126"/>
      </w:tblGrid>
      <w:tr>
        <w:trPr>
          <w:trHeight w:val="401"/>
        </w:trPr>
        <w:tc>
          <w:tcPr>
            <w:tcW w:w="1291" w:type="dxa"/>
            <w:gridSpan w:val="3"/>
            <w:tcBorders>
              <w:top w:val="single" w:sz="12"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建筑名称</w:t>
            </w:r>
          </w:p>
        </w:tc>
        <w:tc>
          <w:tcPr>
            <w:tcW w:w="2511" w:type="dxa"/>
            <w:gridSpan w:val="3"/>
            <w:tcBorders>
              <w:top w:val="single" w:sz="12" w:space="0" w:color="000000"/>
            </w:tcBorders>
            <w:vAlign w:val="center"/>
          </w:tcPr>
          <w:p>
            <w:pPr>
              <w:pStyle w:val="16"/>
              <w:jc w:val="both"/>
              <w:rPr>
                <w:rFonts w:ascii="仿宋" w:eastAsia="仿宋" w:cs="Times New Roman" w:hAnsi="仿宋"/>
                <w:color w:val="auto"/>
              </w:rPr>
            </w:pPr>
          </w:p>
        </w:tc>
        <w:tc>
          <w:tcPr>
            <w:tcW w:w="1194" w:type="dxa"/>
            <w:gridSpan w:val="2"/>
            <w:tcBorders>
              <w:top w:val="single" w:sz="12"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检查日期</w:t>
            </w:r>
          </w:p>
        </w:tc>
        <w:tc>
          <w:tcPr>
            <w:tcW w:w="919" w:type="dxa"/>
            <w:tcBorders>
              <w:top w:val="single" w:sz="12" w:space="0" w:color="000000"/>
            </w:tcBorders>
            <w:vAlign w:val="center"/>
          </w:tcPr>
          <w:p>
            <w:pPr>
              <w:pStyle w:val="16"/>
              <w:jc w:val="both"/>
              <w:rPr>
                <w:rFonts w:ascii="仿宋" w:eastAsia="仿宋" w:cs="Times New Roman" w:hAnsi="仿宋"/>
                <w:color w:val="auto"/>
              </w:rPr>
            </w:pPr>
          </w:p>
        </w:tc>
        <w:tc>
          <w:tcPr>
            <w:tcW w:w="1995" w:type="dxa"/>
            <w:gridSpan w:val="4"/>
            <w:tcBorders>
              <w:top w:val="single" w:sz="12"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使用年限</w:t>
            </w:r>
          </w:p>
        </w:tc>
        <w:tc>
          <w:tcPr>
            <w:tcW w:w="1377" w:type="dxa"/>
            <w:gridSpan w:val="2"/>
            <w:tcBorders>
              <w:top w:val="single" w:sz="12" w:space="0" w:color="000000"/>
            </w:tcBorders>
            <w:vAlign w:val="center"/>
          </w:tcPr>
          <w:p>
            <w:pPr>
              <w:pStyle w:val="16"/>
              <w:jc w:val="both"/>
              <w:rPr>
                <w:rFonts w:ascii="仿宋" w:eastAsia="仿宋" w:cs="Times New Roman" w:hAnsi="仿宋"/>
                <w:color w:val="auto"/>
              </w:rPr>
            </w:pPr>
          </w:p>
        </w:tc>
      </w:tr>
      <w:tr>
        <w:trPr>
          <w:trHeight w:val="401"/>
        </w:trPr>
        <w:tc>
          <w:tcPr>
            <w:tcW w:w="1291" w:type="dxa"/>
            <w:gridSpan w:val="3"/>
            <w:vMerge w:val="restart"/>
            <w:vAlign w:val="center"/>
          </w:tcPr>
          <w:p>
            <w:pPr>
              <w:pStyle w:val="16"/>
              <w:jc w:val="both"/>
              <w:rPr>
                <w:rFonts w:ascii="仿宋" w:eastAsia="仿宋" w:cs="Times New Roman" w:hAnsi="仿宋"/>
                <w:color w:val="auto"/>
              </w:rPr>
            </w:pPr>
            <w:r>
              <w:rPr>
                <w:rFonts w:ascii="仿宋" w:eastAsia="仿宋" w:cs="Times New Roman" w:hAnsi="仿宋" w:hint="eastAsia"/>
                <w:color w:val="auto"/>
              </w:rPr>
              <w:t>幕墙类型</w:t>
            </w:r>
          </w:p>
        </w:tc>
        <w:tc>
          <w:tcPr>
            <w:tcW w:w="1458" w:type="dxa"/>
            <w:vMerge w:val="restart"/>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人造板幕墙</w:t>
            </w:r>
          </w:p>
        </w:tc>
        <w:tc>
          <w:tcPr>
            <w:tcW w:w="795"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材料</w:t>
            </w:r>
          </w:p>
        </w:tc>
        <w:tc>
          <w:tcPr>
            <w:tcW w:w="5744" w:type="dxa"/>
            <w:gridSpan w:val="10"/>
            <w:vAlign w:val="center"/>
          </w:tcPr>
          <w:p>
            <w:pPr>
              <w:pStyle w:val="16"/>
              <w:jc w:val="both"/>
              <w:rPr>
                <w:rFonts w:ascii="仿宋" w:eastAsia="仿宋" w:cs="Times New Roman" w:hAnsi="仿宋"/>
                <w:color w:val="auto"/>
              </w:rPr>
            </w:pPr>
            <w:r>
              <w:rPr>
                <w:rFonts w:ascii="仿宋" w:eastAsia="仿宋" w:cs="Times New Roman" w:hAnsi="仿宋" w:hint="eastAsia"/>
                <w:color w:val="auto"/>
              </w:rPr>
              <w:t>材料：□瓷板□陶板□微晶玻璃板□石材蜂窝板□其他</w:t>
            </w:r>
          </w:p>
        </w:tc>
      </w:tr>
      <w:tr>
        <w:trPr>
          <w:trHeight w:val="401"/>
        </w:trPr>
        <w:tc>
          <w:tcPr>
            <w:tcW w:w="1291" w:type="dxa"/>
            <w:gridSpan w:val="3"/>
            <w:vMerge/>
            <w:vAlign w:val="center"/>
          </w:tcPr>
          <w:p/>
        </w:tc>
        <w:tc>
          <w:tcPr>
            <w:tcW w:w="1458" w:type="dxa"/>
            <w:vMerge/>
            <w:tcBorders>
              <w:top w:val="single" w:sz="6" w:space="0" w:color="000000"/>
              <w:left w:val="single" w:sz="6" w:space="0" w:color="000000"/>
              <w:right w:val="single" w:sz="6" w:space="0" w:color="000000"/>
            </w:tcBorders>
            <w:vAlign w:val="center"/>
          </w:tcPr>
          <w:p/>
        </w:tc>
        <w:tc>
          <w:tcPr>
            <w:tcW w:w="795"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构造</w:t>
            </w:r>
          </w:p>
        </w:tc>
        <w:tc>
          <w:tcPr>
            <w:tcW w:w="5744" w:type="dxa"/>
            <w:gridSpan w:val="10"/>
            <w:vAlign w:val="center"/>
          </w:tcPr>
          <w:p>
            <w:pPr>
              <w:pStyle w:val="16"/>
              <w:jc w:val="both"/>
              <w:rPr>
                <w:rFonts w:ascii="仿宋" w:eastAsia="仿宋" w:cs="Times New Roman" w:hAnsi="仿宋"/>
                <w:color w:val="auto"/>
              </w:rPr>
            </w:pPr>
            <w:r>
              <w:rPr>
                <w:rFonts w:ascii="仿宋" w:eastAsia="仿宋" w:cs="Times New Roman" w:hAnsi="仿宋" w:hint="eastAsia"/>
                <w:color w:val="auto"/>
              </w:rPr>
              <w:t>构造：□封闭式□开放式</w:t>
            </w:r>
          </w:p>
        </w:tc>
      </w:tr>
      <w:tr>
        <w:trPr>
          <w:trHeight w:val="401"/>
        </w:trPr>
        <w:tc>
          <w:tcPr>
            <w:tcW w:w="761" w:type="dxa"/>
            <w:vAlign w:val="center"/>
          </w:tcPr>
          <w:p>
            <w:pPr>
              <w:pStyle w:val="16"/>
              <w:jc w:val="both"/>
              <w:rPr>
                <w:rFonts w:ascii="仿宋" w:eastAsia="仿宋" w:cs="Times New Roman" w:hAnsi="仿宋"/>
                <w:color w:val="auto"/>
              </w:rPr>
            </w:pPr>
            <w:r>
              <w:rPr>
                <w:rFonts w:ascii="仿宋" w:eastAsia="仿宋" w:cs="Times New Roman" w:hAnsi="仿宋" w:hint="eastAsia"/>
                <w:color w:val="auto"/>
              </w:rPr>
              <w:t>项目</w:t>
            </w:r>
          </w:p>
        </w:tc>
        <w:tc>
          <w:tcPr>
            <w:tcW w:w="6079" w:type="dxa"/>
            <w:gridSpan w:val="10"/>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安全隐患</w:t>
            </w:r>
          </w:p>
        </w:tc>
        <w:tc>
          <w:tcPr>
            <w:tcW w:w="660"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立面</w:t>
            </w:r>
          </w:p>
        </w:tc>
        <w:tc>
          <w:tcPr>
            <w:tcW w:w="662"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数量</w:t>
            </w:r>
          </w:p>
        </w:tc>
        <w:tc>
          <w:tcPr>
            <w:tcW w:w="1124" w:type="dxa"/>
            <w:vAlign w:val="center"/>
          </w:tcPr>
          <w:p>
            <w:pPr>
              <w:pStyle w:val="16"/>
              <w:jc w:val="both"/>
              <w:rPr>
                <w:rFonts w:ascii="仿宋" w:eastAsia="仿宋" w:cs="Times New Roman" w:hAnsi="仿宋"/>
                <w:color w:val="auto"/>
              </w:rPr>
            </w:pPr>
            <w:r>
              <w:rPr>
                <w:rFonts w:ascii="仿宋" w:eastAsia="仿宋" w:cs="Times New Roman" w:hAnsi="仿宋" w:hint="eastAsia"/>
                <w:color w:val="auto"/>
              </w:rPr>
              <w:t>照片编号</w:t>
            </w:r>
          </w:p>
        </w:tc>
      </w:tr>
      <w:tr>
        <w:trPr>
          <w:trHeight w:val="401"/>
        </w:trPr>
        <w:tc>
          <w:tcPr>
            <w:tcW w:w="761" w:type="dxa"/>
            <w:vMerge w:val="restart"/>
            <w:vAlign w:val="center"/>
          </w:tcPr>
          <w:p>
            <w:pPr>
              <w:pStyle w:val="16"/>
              <w:jc w:val="both"/>
              <w:rPr>
                <w:rFonts w:ascii="仿宋" w:eastAsia="仿宋" w:cs="Times New Roman" w:hAnsi="仿宋"/>
                <w:color w:val="auto"/>
              </w:rPr>
            </w:pPr>
            <w:r>
              <w:rPr>
                <w:rFonts w:ascii="仿宋" w:eastAsia="仿宋" w:cs="Times New Roman" w:hAnsi="仿宋" w:hint="eastAsia"/>
                <w:color w:val="auto"/>
              </w:rPr>
              <w:t>幕墙</w:t>
            </w:r>
          </w:p>
          <w:p>
            <w:pPr>
              <w:pStyle w:val="16"/>
              <w:jc w:val="both"/>
              <w:rPr>
                <w:rFonts w:ascii="仿宋" w:eastAsia="仿宋" w:cs="Times New Roman" w:hAnsi="仿宋"/>
                <w:color w:val="auto"/>
              </w:rPr>
            </w:pPr>
            <w:r>
              <w:rPr>
                <w:rFonts w:ascii="仿宋" w:eastAsia="仿宋" w:cs="Times New Roman" w:hAnsi="仿宋" w:hint="eastAsia"/>
                <w:color w:val="auto"/>
              </w:rPr>
              <w:t>面板</w:t>
            </w:r>
          </w:p>
        </w:tc>
        <w:tc>
          <w:tcPr>
            <w:tcW w:w="5551"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面板有破碎、破裂、缺损、坠落</w:t>
            </w:r>
          </w:p>
        </w:tc>
        <w:tc>
          <w:tcPr>
            <w:tcW w:w="528"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60"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2"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24" w:type="dxa"/>
            <w:vAlign w:val="center"/>
          </w:tcPr>
          <w:p>
            <w:pPr>
              <w:pStyle w:val="16"/>
              <w:jc w:val="both"/>
              <w:rPr>
                <w:rFonts w:ascii="仿宋" w:eastAsia="仿宋" w:cs="Times New Roman" w:hAnsi="仿宋"/>
                <w:color w:val="auto"/>
              </w:rPr>
            </w:pPr>
          </w:p>
        </w:tc>
      </w:tr>
      <w:tr>
        <w:trPr>
          <w:trHeight w:val="401"/>
        </w:trPr>
        <w:tc>
          <w:tcPr>
            <w:tcW w:w="761" w:type="dxa"/>
            <w:vMerge/>
            <w:vAlign w:val="center"/>
          </w:tcPr>
          <w:p/>
        </w:tc>
        <w:tc>
          <w:tcPr>
            <w:tcW w:w="5551"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面板之间有不正常挤压、错位</w:t>
            </w:r>
          </w:p>
        </w:tc>
        <w:tc>
          <w:tcPr>
            <w:tcW w:w="528"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60"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2"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24" w:type="dxa"/>
            <w:vAlign w:val="center"/>
          </w:tcPr>
          <w:p>
            <w:pPr>
              <w:pStyle w:val="16"/>
              <w:jc w:val="both"/>
              <w:rPr>
                <w:rFonts w:ascii="仿宋" w:eastAsia="仿宋" w:cs="Times New Roman" w:hAnsi="仿宋"/>
                <w:color w:val="auto"/>
              </w:rPr>
            </w:pPr>
          </w:p>
        </w:tc>
      </w:tr>
      <w:tr>
        <w:trPr>
          <w:trHeight w:val="401"/>
        </w:trPr>
        <w:tc>
          <w:tcPr>
            <w:tcW w:w="761" w:type="dxa"/>
            <w:vMerge/>
            <w:vAlign w:val="center"/>
          </w:tcPr>
          <w:p/>
        </w:tc>
        <w:tc>
          <w:tcPr>
            <w:tcW w:w="5551"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面板有松动、松脱</w:t>
            </w:r>
          </w:p>
        </w:tc>
        <w:tc>
          <w:tcPr>
            <w:tcW w:w="528"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60"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2"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24" w:type="dxa"/>
            <w:vAlign w:val="center"/>
          </w:tcPr>
          <w:p>
            <w:pPr>
              <w:pStyle w:val="16"/>
              <w:jc w:val="both"/>
              <w:rPr>
                <w:rFonts w:ascii="仿宋" w:eastAsia="仿宋" w:cs="Times New Roman" w:hAnsi="仿宋"/>
                <w:color w:val="auto"/>
              </w:rPr>
            </w:pPr>
          </w:p>
        </w:tc>
      </w:tr>
      <w:tr>
        <w:trPr>
          <w:trHeight w:val="401"/>
        </w:trPr>
        <w:tc>
          <w:tcPr>
            <w:tcW w:w="761" w:type="dxa"/>
            <w:vMerge w:val="restart"/>
            <w:vAlign w:val="center"/>
          </w:tcPr>
          <w:p>
            <w:pPr>
              <w:pStyle w:val="16"/>
              <w:jc w:val="both"/>
              <w:rPr>
                <w:rFonts w:ascii="仿宋" w:eastAsia="仿宋" w:cs="Times New Roman" w:hAnsi="仿宋"/>
                <w:color w:val="auto"/>
              </w:rPr>
            </w:pPr>
            <w:r>
              <w:rPr>
                <w:rFonts w:ascii="仿宋" w:eastAsia="仿宋" w:cs="Times New Roman" w:hAnsi="仿宋" w:hint="eastAsia"/>
                <w:color w:val="auto"/>
              </w:rPr>
              <w:t>室外</w:t>
            </w:r>
          </w:p>
          <w:p>
            <w:pPr>
              <w:pStyle w:val="16"/>
              <w:jc w:val="both"/>
              <w:rPr>
                <w:rFonts w:ascii="仿宋" w:eastAsia="仿宋" w:cs="Times New Roman" w:hAnsi="仿宋"/>
                <w:color w:val="auto"/>
              </w:rPr>
            </w:pPr>
            <w:r>
              <w:rPr>
                <w:rFonts w:ascii="仿宋" w:eastAsia="仿宋" w:cs="Times New Roman" w:hAnsi="仿宋" w:hint="eastAsia"/>
                <w:color w:val="auto"/>
              </w:rPr>
              <w:t>装饰</w:t>
            </w:r>
          </w:p>
          <w:p>
            <w:pPr>
              <w:pStyle w:val="16"/>
              <w:jc w:val="both"/>
              <w:rPr>
                <w:rFonts w:ascii="仿宋" w:eastAsia="仿宋" w:cs="Times New Roman" w:hAnsi="仿宋"/>
                <w:color w:val="auto"/>
              </w:rPr>
            </w:pPr>
            <w:r>
              <w:rPr>
                <w:rFonts w:ascii="仿宋" w:eastAsia="仿宋" w:cs="Times New Roman" w:hAnsi="仿宋" w:hint="eastAsia"/>
                <w:color w:val="auto"/>
              </w:rPr>
              <w:t>构件</w:t>
            </w:r>
          </w:p>
        </w:tc>
        <w:tc>
          <w:tcPr>
            <w:tcW w:w="5551"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构件有破碎、破裂等</w:t>
            </w:r>
          </w:p>
        </w:tc>
        <w:tc>
          <w:tcPr>
            <w:tcW w:w="528"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60"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2"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24" w:type="dxa"/>
            <w:vAlign w:val="center"/>
          </w:tcPr>
          <w:p>
            <w:pPr>
              <w:pStyle w:val="16"/>
              <w:jc w:val="both"/>
              <w:rPr>
                <w:rFonts w:ascii="仿宋" w:eastAsia="仿宋" w:cs="Times New Roman" w:hAnsi="仿宋"/>
                <w:color w:val="auto"/>
              </w:rPr>
            </w:pPr>
          </w:p>
        </w:tc>
      </w:tr>
      <w:tr>
        <w:trPr>
          <w:trHeight w:val="401"/>
        </w:trPr>
        <w:tc>
          <w:tcPr>
            <w:tcW w:w="761" w:type="dxa"/>
            <w:vMerge/>
            <w:vAlign w:val="center"/>
          </w:tcPr>
          <w:p/>
        </w:tc>
        <w:tc>
          <w:tcPr>
            <w:tcW w:w="5551"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构件有松动、松脱、裂纹等</w:t>
            </w:r>
          </w:p>
        </w:tc>
        <w:tc>
          <w:tcPr>
            <w:tcW w:w="528"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60"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2"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24" w:type="dxa"/>
            <w:vAlign w:val="center"/>
          </w:tcPr>
          <w:p>
            <w:pPr>
              <w:pStyle w:val="16"/>
              <w:jc w:val="both"/>
              <w:rPr>
                <w:rFonts w:ascii="仿宋" w:eastAsia="仿宋" w:cs="Times New Roman" w:hAnsi="仿宋"/>
                <w:color w:val="auto"/>
              </w:rPr>
            </w:pPr>
          </w:p>
        </w:tc>
      </w:tr>
      <w:tr>
        <w:trPr>
          <w:trHeight w:val="401"/>
        </w:trPr>
        <w:tc>
          <w:tcPr>
            <w:tcW w:w="761" w:type="dxa"/>
            <w:vMerge/>
            <w:vAlign w:val="center"/>
          </w:tcPr>
          <w:p/>
        </w:tc>
        <w:tc>
          <w:tcPr>
            <w:tcW w:w="5551"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构件有不正常挤压、错位或变形</w:t>
            </w:r>
          </w:p>
        </w:tc>
        <w:tc>
          <w:tcPr>
            <w:tcW w:w="528"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60"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2"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24" w:type="dxa"/>
            <w:vAlign w:val="center"/>
          </w:tcPr>
          <w:p>
            <w:pPr>
              <w:pStyle w:val="16"/>
              <w:jc w:val="both"/>
              <w:rPr>
                <w:rFonts w:ascii="仿宋" w:eastAsia="仿宋" w:cs="Times New Roman" w:hAnsi="仿宋"/>
                <w:color w:val="auto"/>
              </w:rPr>
            </w:pPr>
          </w:p>
        </w:tc>
      </w:tr>
      <w:tr>
        <w:trPr>
          <w:trHeight w:val="401"/>
        </w:trPr>
        <w:tc>
          <w:tcPr>
            <w:tcW w:w="761" w:type="dxa"/>
            <w:vMerge w:val="restart"/>
            <w:vAlign w:val="center"/>
          </w:tcPr>
          <w:p>
            <w:pPr>
              <w:pStyle w:val="16"/>
              <w:jc w:val="both"/>
              <w:rPr>
                <w:rFonts w:ascii="仿宋" w:eastAsia="仿宋" w:cs="Times New Roman" w:hAnsi="仿宋"/>
                <w:color w:val="auto"/>
              </w:rPr>
            </w:pPr>
            <w:r>
              <w:rPr>
                <w:rFonts w:ascii="仿宋" w:eastAsia="仿宋" w:cs="Times New Roman" w:hAnsi="仿宋" w:hint="eastAsia"/>
                <w:color w:val="auto"/>
              </w:rPr>
              <w:t>受力</w:t>
            </w:r>
          </w:p>
          <w:p>
            <w:pPr>
              <w:pStyle w:val="16"/>
              <w:jc w:val="both"/>
              <w:rPr>
                <w:rFonts w:ascii="仿宋" w:eastAsia="仿宋" w:cs="Times New Roman" w:hAnsi="仿宋"/>
                <w:color w:val="auto"/>
              </w:rPr>
            </w:pPr>
            <w:r>
              <w:rPr>
                <w:rFonts w:ascii="仿宋" w:eastAsia="仿宋" w:cs="Times New Roman" w:hAnsi="仿宋" w:hint="eastAsia"/>
                <w:color w:val="auto"/>
              </w:rPr>
              <w:t>构件</w:t>
            </w:r>
          </w:p>
        </w:tc>
        <w:tc>
          <w:tcPr>
            <w:tcW w:w="5551"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埋件连接松动、位移、脱落、开焊或严重锈蚀</w:t>
            </w:r>
          </w:p>
        </w:tc>
        <w:tc>
          <w:tcPr>
            <w:tcW w:w="528"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60"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2"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24" w:type="dxa"/>
            <w:vAlign w:val="center"/>
          </w:tcPr>
          <w:p>
            <w:pPr>
              <w:pStyle w:val="16"/>
              <w:jc w:val="both"/>
              <w:rPr>
                <w:rFonts w:ascii="仿宋" w:eastAsia="仿宋" w:cs="Times New Roman" w:hAnsi="仿宋"/>
                <w:color w:val="auto"/>
              </w:rPr>
            </w:pPr>
          </w:p>
        </w:tc>
      </w:tr>
      <w:tr>
        <w:trPr>
          <w:trHeight w:val="401"/>
        </w:trPr>
        <w:tc>
          <w:tcPr>
            <w:tcW w:w="761" w:type="dxa"/>
            <w:vMerge/>
            <w:vAlign w:val="center"/>
          </w:tcPr>
          <w:p/>
        </w:tc>
        <w:tc>
          <w:tcPr>
            <w:tcW w:w="5551"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与主体结构连接组件有损坏，松动、缺失或严重锈蚀</w:t>
            </w:r>
          </w:p>
        </w:tc>
        <w:tc>
          <w:tcPr>
            <w:tcW w:w="528"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60"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2"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24" w:type="dxa"/>
            <w:vAlign w:val="center"/>
          </w:tcPr>
          <w:p>
            <w:pPr>
              <w:pStyle w:val="16"/>
              <w:jc w:val="both"/>
              <w:rPr>
                <w:rFonts w:ascii="仿宋" w:eastAsia="仿宋" w:cs="Times New Roman" w:hAnsi="仿宋"/>
                <w:color w:val="auto"/>
              </w:rPr>
            </w:pPr>
          </w:p>
        </w:tc>
      </w:tr>
      <w:tr>
        <w:trPr>
          <w:trHeight w:val="401"/>
        </w:trPr>
        <w:tc>
          <w:tcPr>
            <w:tcW w:w="761" w:type="dxa"/>
            <w:vMerge/>
            <w:vAlign w:val="center"/>
          </w:tcPr>
          <w:p/>
        </w:tc>
        <w:tc>
          <w:tcPr>
            <w:tcW w:w="5551"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立柱、横梁连接松动、变形或严重锈蚀</w:t>
            </w:r>
          </w:p>
        </w:tc>
        <w:tc>
          <w:tcPr>
            <w:tcW w:w="528"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60"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2"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24" w:type="dxa"/>
            <w:vAlign w:val="center"/>
          </w:tcPr>
          <w:p>
            <w:pPr>
              <w:pStyle w:val="16"/>
              <w:jc w:val="both"/>
              <w:rPr>
                <w:rFonts w:ascii="仿宋" w:eastAsia="仿宋" w:cs="Times New Roman" w:hAnsi="仿宋"/>
                <w:color w:val="auto"/>
              </w:rPr>
            </w:pPr>
          </w:p>
        </w:tc>
      </w:tr>
      <w:tr>
        <w:trPr>
          <w:trHeight w:val="401"/>
        </w:trPr>
        <w:tc>
          <w:tcPr>
            <w:tcW w:w="761" w:type="dxa"/>
            <w:vMerge/>
            <w:vAlign w:val="center"/>
          </w:tcPr>
          <w:p/>
        </w:tc>
        <w:tc>
          <w:tcPr>
            <w:tcW w:w="5551"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4.</w:t>
            </w:r>
            <w:r>
              <w:rPr>
                <w:rFonts w:ascii="仿宋" w:eastAsia="仿宋" w:hAnsi="仿宋" w:hint="eastAsia"/>
                <w:sz w:val="24"/>
                <w:szCs w:val="24"/>
              </w:rPr>
              <w:t>挂件缺失、变形或严重锈蚀</w:t>
            </w:r>
          </w:p>
        </w:tc>
        <w:tc>
          <w:tcPr>
            <w:tcW w:w="528"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60"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2"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24" w:type="dxa"/>
            <w:vAlign w:val="center"/>
          </w:tcPr>
          <w:p>
            <w:pPr>
              <w:pStyle w:val="16"/>
              <w:jc w:val="both"/>
              <w:rPr>
                <w:rFonts w:ascii="仿宋" w:eastAsia="仿宋" w:cs="Times New Roman" w:hAnsi="仿宋"/>
                <w:color w:val="auto"/>
              </w:rPr>
            </w:pPr>
          </w:p>
        </w:tc>
      </w:tr>
      <w:tr>
        <w:trPr>
          <w:trHeight w:val="401"/>
        </w:trPr>
        <w:tc>
          <w:tcPr>
            <w:tcW w:w="761" w:type="dxa"/>
            <w:vMerge w:val="restart"/>
            <w:vAlign w:val="center"/>
          </w:tcPr>
          <w:p>
            <w:pPr>
              <w:pStyle w:val="16"/>
              <w:jc w:val="both"/>
              <w:rPr>
                <w:rFonts w:ascii="仿宋" w:eastAsia="仿宋" w:cs="Times New Roman" w:hAnsi="仿宋"/>
                <w:color w:val="auto"/>
              </w:rPr>
            </w:pPr>
            <w:r>
              <w:rPr>
                <w:rFonts w:ascii="仿宋" w:eastAsia="仿宋" w:cs="Times New Roman" w:hAnsi="仿宋" w:hint="eastAsia"/>
                <w:color w:val="auto"/>
              </w:rPr>
              <w:t>雨水</w:t>
            </w:r>
          </w:p>
          <w:p>
            <w:pPr>
              <w:pStyle w:val="16"/>
              <w:jc w:val="both"/>
              <w:rPr>
                <w:rFonts w:ascii="仿宋" w:eastAsia="仿宋" w:cs="Times New Roman" w:hAnsi="仿宋"/>
                <w:color w:val="auto"/>
              </w:rPr>
            </w:pPr>
            <w:r>
              <w:rPr>
                <w:rFonts w:ascii="仿宋" w:eastAsia="仿宋" w:cs="Times New Roman" w:hAnsi="仿宋" w:hint="eastAsia"/>
                <w:color w:val="auto"/>
              </w:rPr>
              <w:t>渗漏</w:t>
            </w:r>
          </w:p>
        </w:tc>
        <w:tc>
          <w:tcPr>
            <w:tcW w:w="5551"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密封胶有硬化、起泡、脱胶、开裂等</w:t>
            </w:r>
          </w:p>
        </w:tc>
        <w:tc>
          <w:tcPr>
            <w:tcW w:w="528"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60"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2"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24" w:type="dxa"/>
            <w:vAlign w:val="center"/>
          </w:tcPr>
          <w:p>
            <w:pPr>
              <w:pStyle w:val="16"/>
              <w:jc w:val="both"/>
              <w:rPr>
                <w:rFonts w:ascii="仿宋" w:eastAsia="仿宋" w:cs="Times New Roman" w:hAnsi="仿宋"/>
                <w:color w:val="auto"/>
              </w:rPr>
            </w:pPr>
          </w:p>
        </w:tc>
      </w:tr>
      <w:tr>
        <w:trPr>
          <w:trHeight w:val="401"/>
        </w:trPr>
        <w:tc>
          <w:tcPr>
            <w:tcW w:w="761" w:type="dxa"/>
            <w:vMerge/>
            <w:vAlign w:val="center"/>
          </w:tcPr>
          <w:p/>
        </w:tc>
        <w:tc>
          <w:tcPr>
            <w:tcW w:w="5551"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开放式幕墙未设镀锌板等防风雨措施</w:t>
            </w:r>
          </w:p>
        </w:tc>
        <w:tc>
          <w:tcPr>
            <w:tcW w:w="528"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60"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2"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24" w:type="dxa"/>
            <w:vAlign w:val="center"/>
          </w:tcPr>
          <w:p>
            <w:pPr>
              <w:pStyle w:val="16"/>
              <w:jc w:val="both"/>
              <w:rPr>
                <w:rFonts w:ascii="仿宋" w:eastAsia="仿宋" w:cs="Times New Roman" w:hAnsi="仿宋"/>
                <w:color w:val="auto"/>
              </w:rPr>
            </w:pPr>
          </w:p>
        </w:tc>
      </w:tr>
      <w:tr>
        <w:trPr>
          <w:trHeight w:val="401"/>
        </w:trPr>
        <w:tc>
          <w:tcPr>
            <w:tcW w:w="761" w:type="dxa"/>
            <w:vMerge w:val="restart"/>
            <w:vAlign w:val="center"/>
          </w:tcPr>
          <w:p>
            <w:pPr>
              <w:jc w:val="center"/>
              <w:rPr>
                <w:rFonts w:ascii="仿宋" w:eastAsia="仿宋" w:hAnsi="仿宋"/>
                <w:sz w:val="24"/>
                <w:szCs w:val="24"/>
              </w:rPr>
            </w:pPr>
            <w:r>
              <w:rPr>
                <w:rFonts w:ascii="仿宋" w:eastAsia="仿宋" w:hAnsi="仿宋" w:hint="eastAsia"/>
                <w:sz w:val="24"/>
                <w:szCs w:val="24"/>
              </w:rPr>
              <w:t>拆改</w:t>
            </w:r>
          </w:p>
          <w:p>
            <w:pPr>
              <w:pStyle w:val="16"/>
              <w:jc w:val="both"/>
              <w:rPr>
                <w:rFonts w:ascii="仿宋" w:eastAsia="仿宋" w:cs="Times New Roman" w:hAnsi="仿宋"/>
                <w:color w:val="auto"/>
              </w:rPr>
            </w:pPr>
            <w:r>
              <w:rPr>
                <w:rFonts w:ascii="仿宋" w:eastAsia="仿宋" w:hAnsi="仿宋" w:hint="eastAsia"/>
                <w:color w:val="auto"/>
              </w:rPr>
              <w:t>部位</w:t>
            </w:r>
          </w:p>
        </w:tc>
        <w:tc>
          <w:tcPr>
            <w:tcW w:w="5551"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1.</w:t>
            </w:r>
            <w:r>
              <w:rPr>
                <w:rFonts w:ascii="仿宋" w:eastAsia="仿宋" w:hAnsi="仿宋" w:hint="eastAsia"/>
                <w:sz w:val="24"/>
                <w:szCs w:val="24"/>
              </w:rPr>
              <w:t>受力构件、连接构造被拆卸、更改等现象</w:t>
            </w:r>
          </w:p>
        </w:tc>
        <w:tc>
          <w:tcPr>
            <w:tcW w:w="528"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60"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2"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24" w:type="dxa"/>
            <w:vAlign w:val="center"/>
          </w:tcPr>
          <w:p>
            <w:pPr>
              <w:pStyle w:val="16"/>
              <w:jc w:val="both"/>
              <w:rPr>
                <w:rFonts w:ascii="仿宋" w:eastAsia="仿宋" w:cs="Times New Roman" w:hAnsi="仿宋"/>
                <w:color w:val="auto"/>
              </w:rPr>
            </w:pPr>
          </w:p>
        </w:tc>
      </w:tr>
      <w:tr>
        <w:trPr>
          <w:trHeight w:val="401"/>
        </w:trPr>
        <w:tc>
          <w:tcPr>
            <w:tcW w:w="761" w:type="dxa"/>
            <w:vMerge/>
            <w:vAlign w:val="center"/>
          </w:tcPr>
          <w:p/>
        </w:tc>
        <w:tc>
          <w:tcPr>
            <w:tcW w:w="5551"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2.</w:t>
            </w:r>
            <w:r>
              <w:rPr>
                <w:rFonts w:ascii="仿宋" w:eastAsia="仿宋" w:hAnsi="仿宋" w:hint="eastAsia"/>
                <w:sz w:val="24"/>
                <w:szCs w:val="24"/>
              </w:rPr>
              <w:t>防火封堵和防雷连接被拆卸、更改等现象</w:t>
            </w:r>
          </w:p>
        </w:tc>
        <w:tc>
          <w:tcPr>
            <w:tcW w:w="528"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60"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2"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24" w:type="dxa"/>
            <w:vAlign w:val="center"/>
          </w:tcPr>
          <w:p>
            <w:pPr>
              <w:pStyle w:val="16"/>
              <w:jc w:val="both"/>
              <w:rPr>
                <w:rFonts w:ascii="仿宋" w:eastAsia="仿宋" w:cs="Times New Roman" w:hAnsi="仿宋"/>
                <w:color w:val="auto"/>
              </w:rPr>
            </w:pPr>
          </w:p>
        </w:tc>
      </w:tr>
      <w:tr>
        <w:trPr>
          <w:trHeight w:val="401"/>
        </w:trPr>
        <w:tc>
          <w:tcPr>
            <w:tcW w:w="761" w:type="dxa"/>
            <w:vMerge/>
            <w:vAlign w:val="center"/>
          </w:tcPr>
          <w:p/>
        </w:tc>
        <w:tc>
          <w:tcPr>
            <w:tcW w:w="5551" w:type="dxa"/>
            <w:gridSpan w:val="9"/>
            <w:tcBorders>
              <w:top w:val="single" w:sz="6" w:space="0" w:color="000000"/>
              <w:left w:val="single" w:sz="6" w:space="0" w:color="000000"/>
              <w:right w:val="single" w:sz="6" w:space="0" w:color="000000"/>
            </w:tcBorders>
            <w:vAlign w:val="center"/>
          </w:tcPr>
          <w:p>
            <w:pPr>
              <w:rPr>
                <w:rFonts w:ascii="仿宋" w:eastAsia="仿宋" w:hAnsi="仿宋"/>
                <w:sz w:val="24"/>
                <w:szCs w:val="24"/>
              </w:rPr>
            </w:pPr>
            <w:r>
              <w:rPr>
                <w:rFonts w:ascii="仿宋" w:eastAsia="仿宋" w:hAnsi="仿宋"/>
                <w:sz w:val="24"/>
                <w:szCs w:val="24"/>
              </w:rPr>
              <w:t>3.</w:t>
            </w:r>
            <w:r>
              <w:rPr>
                <w:rFonts w:ascii="仿宋" w:eastAsia="仿宋" w:hAnsi="仿宋" w:hint="eastAsia"/>
                <w:sz w:val="24"/>
                <w:szCs w:val="24"/>
              </w:rPr>
              <w:t>擅自在幕墙上设置霓虹灯、招牌及广告等设施</w:t>
            </w:r>
          </w:p>
        </w:tc>
        <w:tc>
          <w:tcPr>
            <w:tcW w:w="528"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w:t>
            </w:r>
          </w:p>
        </w:tc>
        <w:tc>
          <w:tcPr>
            <w:tcW w:w="660" w:type="dxa"/>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662" w:type="dxa"/>
            <w:gridSpan w:val="2"/>
            <w:tcBorders>
              <w:top w:val="single" w:sz="6" w:space="0" w:color="000000"/>
              <w:left w:val="single" w:sz="6" w:space="0" w:color="000000"/>
              <w:right w:val="single" w:sz="6" w:space="0" w:color="000000"/>
            </w:tcBorders>
            <w:vAlign w:val="center"/>
          </w:tcPr>
          <w:p>
            <w:pPr>
              <w:pStyle w:val="16"/>
              <w:jc w:val="both"/>
              <w:rPr>
                <w:rFonts w:ascii="仿宋" w:eastAsia="仿宋" w:cs="Times New Roman" w:hAnsi="仿宋"/>
                <w:color w:val="auto"/>
              </w:rPr>
            </w:pPr>
          </w:p>
        </w:tc>
        <w:tc>
          <w:tcPr>
            <w:tcW w:w="1124" w:type="dxa"/>
            <w:vAlign w:val="center"/>
          </w:tcPr>
          <w:p>
            <w:pPr>
              <w:pStyle w:val="16"/>
              <w:jc w:val="both"/>
              <w:rPr>
                <w:rFonts w:ascii="仿宋" w:eastAsia="仿宋" w:cs="Times New Roman" w:hAnsi="仿宋"/>
                <w:color w:val="auto"/>
              </w:rPr>
            </w:pPr>
          </w:p>
        </w:tc>
      </w:tr>
      <w:tr>
        <w:trPr>
          <w:trHeight w:val="401"/>
        </w:trPr>
        <w:tc>
          <w:tcPr>
            <w:tcW w:w="9288" w:type="dxa"/>
            <w:gridSpan w:val="15"/>
            <w:vAlign w:val="center"/>
          </w:tcPr>
          <w:p>
            <w:pPr>
              <w:pStyle w:val="16"/>
              <w:jc w:val="both"/>
              <w:rPr>
                <w:rFonts w:ascii="仿宋" w:eastAsia="仿宋" w:cs="Times New Roman" w:hAnsi="仿宋"/>
                <w:color w:val="auto"/>
              </w:rPr>
            </w:pPr>
            <w:r>
              <w:rPr>
                <w:rFonts w:ascii="仿宋" w:eastAsia="仿宋" w:cs="Times New Roman" w:hAnsi="仿宋" w:hint="eastAsia"/>
                <w:color w:val="auto"/>
              </w:rPr>
              <w:t>备注：</w:t>
            </w:r>
          </w:p>
          <w:p>
            <w:pPr>
              <w:pStyle w:val="16"/>
              <w:jc w:val="both"/>
              <w:rPr>
                <w:rFonts w:ascii="仿宋" w:eastAsia="仿宋" w:cs="Times New Roman" w:hAnsi="仿宋"/>
                <w:color w:val="auto"/>
              </w:rPr>
            </w:pPr>
          </w:p>
          <w:p>
            <w:pPr>
              <w:pStyle w:val="16"/>
              <w:jc w:val="both"/>
              <w:rPr>
                <w:rFonts w:ascii="仿宋" w:eastAsia="仿宋" w:cs="Times New Roman" w:hAnsi="仿宋"/>
                <w:color w:val="auto"/>
              </w:rPr>
            </w:pPr>
          </w:p>
        </w:tc>
      </w:tr>
      <w:tr>
        <w:trPr>
          <w:trHeight w:val="401"/>
        </w:trPr>
        <w:tc>
          <w:tcPr>
            <w:tcW w:w="1285" w:type="dxa"/>
            <w:gridSpan w:val="2"/>
            <w:vAlign w:val="center"/>
          </w:tcPr>
          <w:p>
            <w:pPr>
              <w:pStyle w:val="16"/>
              <w:jc w:val="both"/>
              <w:rPr>
                <w:rFonts w:ascii="仿宋" w:eastAsia="仿宋" w:cs="Times New Roman" w:hAnsi="仿宋"/>
                <w:color w:val="auto"/>
              </w:rPr>
            </w:pPr>
            <w:r>
              <w:rPr>
                <w:rFonts w:ascii="仿宋" w:eastAsia="仿宋" w:cs="Times New Roman" w:hAnsi="仿宋" w:hint="eastAsia"/>
                <w:color w:val="auto"/>
              </w:rPr>
              <w:t>检查结论</w:t>
            </w:r>
          </w:p>
        </w:tc>
        <w:tc>
          <w:tcPr>
            <w:tcW w:w="8003" w:type="dxa"/>
            <w:gridSpan w:val="13"/>
            <w:vAlign w:val="center"/>
          </w:tcPr>
          <w:p>
            <w:pPr>
              <w:pStyle w:val="16"/>
              <w:jc w:val="both"/>
              <w:rPr>
                <w:rFonts w:ascii="仿宋" w:eastAsia="仿宋" w:cs="Times New Roman" w:hAnsi="仿宋"/>
                <w:color w:val="auto"/>
              </w:rPr>
            </w:pPr>
            <w:r>
              <w:rPr>
                <w:rFonts w:ascii="仿宋" w:eastAsia="仿宋" w:cs="Times New Roman" w:hAnsi="仿宋" w:hint="eastAsia"/>
                <w:color w:val="auto"/>
              </w:rPr>
              <w:t>□未发现明显安全隐患，加强日常维护管理。</w:t>
            </w:r>
            <w:r>
              <w:rPr>
                <w:rFonts w:ascii="仿宋" w:eastAsia="仿宋" w:cs="Times New Roman" w:hAnsi="仿宋"/>
                <w:color w:val="auto"/>
              </w:rPr>
              <w:t xml:space="preserve">.   </w:t>
            </w:r>
            <w:r>
              <w:rPr>
                <w:rFonts w:ascii="仿宋" w:eastAsia="仿宋" w:cs="Times New Roman" w:hAnsi="仿宋" w:hint="eastAsia"/>
                <w:color w:val="auto"/>
              </w:rPr>
              <w:t>□存在质量问题影响正常使用，委托专业单位进行维修或采取相应措施。□存在安全隐患，应委托专业单位进行安全性检测鉴定并采取相应措施。□幕墙存在严重安全隐患，应立即委托专业单位进行安全性检测鉴定，并立即采取解危措施，或建议拆除（停止使用）。</w:t>
            </w:r>
          </w:p>
        </w:tc>
      </w:tr>
      <w:tr>
        <w:trPr>
          <w:trHeight w:val="401"/>
        </w:trPr>
        <w:tc>
          <w:tcPr>
            <w:tcW w:w="1285" w:type="dxa"/>
            <w:gridSpan w:val="2"/>
            <w:vAlign w:val="center"/>
          </w:tcPr>
          <w:p>
            <w:pPr>
              <w:pStyle w:val="16"/>
              <w:jc w:val="both"/>
              <w:rPr>
                <w:rFonts w:ascii="仿宋" w:eastAsia="仿宋" w:cs="Times New Roman" w:hAnsi="仿宋"/>
                <w:color w:val="auto"/>
              </w:rPr>
            </w:pPr>
            <w:r>
              <w:rPr>
                <w:rFonts w:ascii="仿宋" w:eastAsia="仿宋" w:cs="Times New Roman" w:hAnsi="仿宋" w:hint="eastAsia"/>
                <w:color w:val="auto"/>
              </w:rPr>
              <w:t>检查单位</w:t>
            </w:r>
          </w:p>
        </w:tc>
        <w:tc>
          <w:tcPr>
            <w:tcW w:w="8003" w:type="dxa"/>
            <w:gridSpan w:val="13"/>
            <w:vAlign w:val="center"/>
          </w:tcPr>
          <w:p>
            <w:pPr>
              <w:pStyle w:val="16"/>
              <w:jc w:val="both"/>
              <w:rPr>
                <w:rFonts w:ascii="仿宋" w:eastAsia="仿宋" w:cs="Times New Roman" w:hAnsi="仿宋"/>
                <w:color w:val="auto"/>
              </w:rPr>
            </w:pPr>
          </w:p>
        </w:tc>
      </w:tr>
      <w:tr>
        <w:trPr>
          <w:trHeight w:val="401"/>
        </w:trPr>
        <w:tc>
          <w:tcPr>
            <w:tcW w:w="1285" w:type="dxa"/>
            <w:gridSpan w:val="2"/>
            <w:tcBorders>
              <w:bottom w:val="single" w:sz="12"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检查人</w:t>
            </w:r>
          </w:p>
        </w:tc>
        <w:tc>
          <w:tcPr>
            <w:tcW w:w="3028" w:type="dxa"/>
            <w:gridSpan w:val="5"/>
            <w:tcBorders>
              <w:bottom w:val="single" w:sz="12" w:space="0" w:color="000000"/>
            </w:tcBorders>
            <w:vAlign w:val="center"/>
          </w:tcPr>
          <w:p>
            <w:pPr>
              <w:pStyle w:val="16"/>
              <w:jc w:val="both"/>
              <w:rPr>
                <w:rFonts w:ascii="仿宋" w:eastAsia="仿宋" w:cs="Times New Roman" w:hAnsi="仿宋"/>
                <w:color w:val="auto"/>
              </w:rPr>
            </w:pPr>
          </w:p>
        </w:tc>
        <w:tc>
          <w:tcPr>
            <w:tcW w:w="1602" w:type="dxa"/>
            <w:gridSpan w:val="2"/>
            <w:tcBorders>
              <w:bottom w:val="single" w:sz="12" w:space="0" w:color="000000"/>
            </w:tcBorders>
            <w:vAlign w:val="center"/>
          </w:tcPr>
          <w:p>
            <w:pPr>
              <w:pStyle w:val="16"/>
              <w:jc w:val="both"/>
              <w:rPr>
                <w:rFonts w:ascii="仿宋" w:eastAsia="仿宋" w:cs="Times New Roman" w:hAnsi="仿宋"/>
                <w:color w:val="auto"/>
              </w:rPr>
            </w:pPr>
            <w:r>
              <w:rPr>
                <w:rFonts w:ascii="仿宋" w:eastAsia="仿宋" w:cs="Times New Roman" w:hAnsi="仿宋" w:hint="eastAsia"/>
                <w:color w:val="auto"/>
              </w:rPr>
              <w:t>审核人</w:t>
            </w:r>
          </w:p>
        </w:tc>
        <w:tc>
          <w:tcPr>
            <w:tcW w:w="3372" w:type="dxa"/>
            <w:gridSpan w:val="6"/>
            <w:tcBorders>
              <w:bottom w:val="single" w:sz="12" w:space="0" w:color="000000"/>
            </w:tcBorders>
            <w:vAlign w:val="center"/>
          </w:tcPr>
          <w:p>
            <w:pPr>
              <w:pStyle w:val="16"/>
              <w:jc w:val="both"/>
              <w:rPr>
                <w:rFonts w:ascii="仿宋" w:eastAsia="仿宋" w:cs="Times New Roman" w:hAnsi="仿宋"/>
                <w:color w:val="auto"/>
              </w:rPr>
            </w:pPr>
          </w:p>
        </w:tc>
      </w:tr>
    </w:tbl>
    <w:p>
      <w:pPr>
        <w:rPr>
          <w:rFonts w:ascii="仿宋_GB2312" w:eastAsia="仿宋_GB2312"/>
          <w:sz w:val="24"/>
        </w:rPr>
      </w:pPr>
      <w:r>
        <w:rPr>
          <w:rFonts w:ascii="仿宋" w:eastAsia="仿宋" w:hAnsi="仿宋" w:hint="eastAsia"/>
          <w:sz w:val="24"/>
          <w:szCs w:val="24"/>
        </w:rPr>
        <w:t>监督单位：区街道：社区：</w:t>
      </w:r>
    </w:p>
    <w:p>
      <w:pPr>
        <w:jc w:val="center"/>
        <w:rPr>
          <w:rFonts w:ascii="宋体"/>
          <w:sz w:val="44"/>
          <w:szCs w:val="44"/>
        </w:rPr>
      </w:pPr>
    </w:p>
    <w:p>
      <w:pPr>
        <w:snapToGrid w:val="0"/>
        <w:ind w:firstLineChars="200" w:firstLine="640"/>
        <w:rPr>
          <w:rFonts w:ascii="宋体" w:cs="仿宋_GB2312"/>
          <w:sz w:val="32"/>
          <w:szCs w:val="32"/>
        </w:rPr>
      </w:pPr>
    </w:p>
    <w:p>
      <w:pPr>
        <w:snapToGrid w:val="0"/>
        <w:ind w:firstLineChars="200" w:firstLine="640"/>
        <w:rPr>
          <w:rFonts w:ascii="宋体" w:cs="仿宋_GB2312"/>
          <w:sz w:val="32"/>
          <w:szCs w:val="32"/>
        </w:rPr>
      </w:pPr>
    </w:p>
    <w:p>
      <w:pPr>
        <w:snapToGrid w:val="0"/>
        <w:rPr>
          <w:rFonts w:ascii="黑体" w:eastAsia="黑体" w:cs="仿宋_GB2312" w:hAnsi="黑体"/>
          <w:sz w:val="32"/>
          <w:szCs w:val="32"/>
        </w:rPr>
      </w:pPr>
      <w:r>
        <w:rPr>
          <w:rFonts w:ascii="黑体" w:eastAsia="黑体" w:cs="仿宋_GB2312" w:hAnsi="黑体" w:hint="eastAsia"/>
          <w:sz w:val="32"/>
          <w:szCs w:val="32"/>
        </w:rPr>
        <w:t>附件</w:t>
      </w:r>
      <w:r>
        <w:rPr>
          <w:rFonts w:ascii="黑体" w:eastAsia="黑体" w:cs="仿宋_GB2312" w:hAnsi="黑体"/>
          <w:sz w:val="32"/>
          <w:szCs w:val="32"/>
        </w:rPr>
        <w:t>2</w:t>
      </w:r>
      <w:r>
        <w:rPr>
          <w:rFonts w:ascii="黑体" w:eastAsia="黑体" w:cs="仿宋_GB2312" w:hAnsi="黑体" w:hint="eastAsia"/>
          <w:sz w:val="32"/>
          <w:szCs w:val="32"/>
        </w:rPr>
        <w:t xml:space="preserve">           建筑幕墙使用维护卡</w:t>
      </w:r>
    </w:p>
    <w:p>
      <w:pPr>
        <w:snapToGrid w:val="0"/>
        <w:ind w:firstLineChars="200" w:firstLine="480"/>
        <w:rPr>
          <w:rFonts w:ascii="宋体" w:cs="仿宋_GB2312"/>
          <w:sz w:val="24"/>
          <w:szCs w:val="24"/>
        </w:rPr>
      </w:pPr>
    </w:p>
    <w:p>
      <w:pPr>
        <w:snapToGrid w:val="0"/>
        <w:ind w:firstLineChars="200" w:firstLine="640"/>
        <w:jc w:val="center"/>
        <w:rPr>
          <w:rFonts w:ascii="仿宋" w:eastAsia="仿宋" w:cs="仿宋" w:hAnsi="仿宋"/>
          <w:sz w:val="32"/>
          <w:szCs w:val="32"/>
        </w:rPr>
      </w:pPr>
      <w:r>
        <w:rPr>
          <w:rFonts w:ascii="仿宋" w:eastAsia="仿宋" w:cs="仿宋" w:hAnsi="仿宋" w:hint="eastAsia"/>
          <w:sz w:val="32"/>
          <w:szCs w:val="32"/>
        </w:rPr>
        <w:t>建筑幕墙使用维护卡（样式）</w:t>
      </w:r>
    </w:p>
    <w:tbl>
      <w:tblPr>
        <w:jc w:val="center"/>
        <w:tblW w:w="8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413"/>
        <w:gridCol w:w="2332"/>
        <w:gridCol w:w="8"/>
        <w:gridCol w:w="1980"/>
        <w:gridCol w:w="11"/>
        <w:gridCol w:w="2175"/>
      </w:tblGrid>
      <w:tr>
        <w:trPr>
          <w:trHeight w:hRule="exact" w:val="580"/>
        </w:trPr>
        <w:tc>
          <w:tcPr>
            <w:tcW w:w="2413" w:type="dxa"/>
            <w:vAlign w:val="center"/>
          </w:tcPr>
          <w:p>
            <w:pPr>
              <w:snapToGrid w:val="0"/>
              <w:jc w:val="center"/>
              <w:rPr>
                <w:rFonts w:ascii="仿宋_GB2312" w:eastAsia="仿宋_GB2312" w:cs="仿宋_GB2312" w:hAnsi="仿宋_GB2312"/>
                <w:sz w:val="28"/>
                <w:szCs w:val="28"/>
              </w:rPr>
            </w:pPr>
            <w:r>
              <w:rPr>
                <w:rFonts w:ascii="仿宋" w:eastAsia="仿宋" w:cs="仿宋" w:hAnsi="仿宋" w:hint="eastAsia"/>
                <w:sz w:val="32"/>
                <w:szCs w:val="32"/>
              </w:rPr>
              <w:t>幕墙</w:t>
            </w:r>
            <w:r>
              <w:rPr>
                <w:rFonts w:ascii="仿宋_GB2312" w:eastAsia="仿宋_GB2312" w:cs="仿宋_GB2312" w:hAnsi="仿宋_GB2312" w:hint="eastAsia"/>
                <w:sz w:val="28"/>
                <w:szCs w:val="28"/>
              </w:rPr>
              <w:t>工程名称</w:t>
            </w:r>
          </w:p>
        </w:tc>
        <w:tc>
          <w:tcPr>
            <w:tcW w:w="2340" w:type="dxa"/>
            <w:gridSpan w:val="2"/>
            <w:vAlign w:val="center"/>
          </w:tcPr>
          <w:p>
            <w:pPr>
              <w:snapToGrid w:val="0"/>
              <w:jc w:val="center"/>
              <w:rPr>
                <w:rFonts w:ascii="仿宋_GB2312" w:eastAsia="仿宋_GB2312" w:cs="仿宋_GB2312" w:hAnsi="仿宋_GB2312"/>
                <w:sz w:val="28"/>
                <w:szCs w:val="28"/>
              </w:rPr>
            </w:pPr>
          </w:p>
        </w:tc>
        <w:tc>
          <w:tcPr>
            <w:tcW w:w="1980" w:type="dxa"/>
            <w:vAlign w:val="center"/>
          </w:tcPr>
          <w:p>
            <w:pPr>
              <w:snapToGrid w:val="0"/>
              <w:jc w:val="center"/>
              <w:rPr>
                <w:rFonts w:ascii="仿宋_GB2312" w:eastAsia="仿宋_GB2312" w:cs="仿宋_GB2312" w:hAnsi="仿宋_GB2312"/>
                <w:sz w:val="28"/>
                <w:szCs w:val="28"/>
              </w:rPr>
            </w:pPr>
            <w:r>
              <w:rPr>
                <w:rFonts w:ascii="仿宋_GB2312" w:eastAsia="仿宋_GB2312" w:cs="仿宋_GB2312" w:hAnsi="仿宋_GB2312" w:hint="eastAsia"/>
                <w:sz w:val="28"/>
                <w:szCs w:val="28"/>
              </w:rPr>
              <w:t>编号</w:t>
            </w:r>
          </w:p>
        </w:tc>
        <w:tc>
          <w:tcPr>
            <w:tcW w:w="2186" w:type="dxa"/>
            <w:gridSpan w:val="2"/>
            <w:vAlign w:val="center"/>
          </w:tcPr>
          <w:p>
            <w:pPr>
              <w:snapToGrid w:val="0"/>
              <w:jc w:val="center"/>
              <w:rPr>
                <w:rFonts w:ascii="仿宋_GB2312" w:eastAsia="仿宋_GB2312" w:cs="仿宋_GB2312" w:hAnsi="仿宋_GB2312"/>
                <w:sz w:val="28"/>
                <w:szCs w:val="28"/>
              </w:rPr>
            </w:pPr>
          </w:p>
        </w:tc>
      </w:tr>
      <w:tr>
        <w:trPr>
          <w:trHeight w:hRule="exact" w:val="580"/>
        </w:trPr>
        <w:tc>
          <w:tcPr>
            <w:tcW w:w="2413" w:type="dxa"/>
            <w:vAlign w:val="center"/>
          </w:tcPr>
          <w:p>
            <w:pPr>
              <w:snapToGrid w:val="0"/>
              <w:jc w:val="center"/>
              <w:rPr>
                <w:rFonts w:ascii="仿宋_GB2312" w:eastAsia="仿宋_GB2312" w:cs="仿宋_GB2312" w:hAnsi="仿宋_GB2312"/>
                <w:sz w:val="28"/>
                <w:szCs w:val="28"/>
              </w:rPr>
            </w:pPr>
            <w:r>
              <w:rPr>
                <w:rFonts w:ascii="仿宋_GB2312" w:eastAsia="仿宋_GB2312" w:cs="仿宋_GB2312" w:hAnsi="仿宋_GB2312" w:hint="eastAsia"/>
                <w:sz w:val="28"/>
                <w:szCs w:val="28"/>
              </w:rPr>
              <w:t>房屋地址</w:t>
            </w:r>
          </w:p>
        </w:tc>
        <w:tc>
          <w:tcPr>
            <w:tcW w:w="6506" w:type="dxa"/>
            <w:gridSpan w:val="5"/>
            <w:vAlign w:val="center"/>
          </w:tcPr>
          <w:p>
            <w:pPr>
              <w:snapToGrid w:val="0"/>
              <w:jc w:val="center"/>
              <w:rPr>
                <w:rFonts w:ascii="仿宋_GB2312" w:eastAsia="仿宋_GB2312" w:cs="仿宋_GB2312" w:hAnsi="仿宋_GB2312"/>
                <w:sz w:val="28"/>
                <w:szCs w:val="28"/>
              </w:rPr>
            </w:pPr>
          </w:p>
        </w:tc>
      </w:tr>
      <w:tr>
        <w:trPr>
          <w:trHeight w:hRule="exact" w:val="580"/>
        </w:trPr>
        <w:tc>
          <w:tcPr>
            <w:tcW w:w="2413" w:type="dxa"/>
            <w:vAlign w:val="center"/>
          </w:tcPr>
          <w:p>
            <w:pPr>
              <w:pStyle w:val="16"/>
              <w:spacing w:line="360" w:lineRule="auto"/>
              <w:jc w:val="center"/>
              <w:rPr>
                <w:rFonts w:ascii="仿宋_GB2312" w:eastAsia="仿宋_GB2312" w:cs="仿宋_GB2312" w:hAnsi="仿宋_GB2312"/>
                <w:color w:val="auto"/>
                <w:sz w:val="28"/>
                <w:szCs w:val="28"/>
              </w:rPr>
            </w:pPr>
            <w:r>
              <w:rPr>
                <w:rFonts w:ascii="仿宋_GB2312" w:eastAsia="仿宋_GB2312" w:cs="仿宋_GB2312" w:hAnsi="仿宋_GB2312" w:hint="eastAsia"/>
                <w:color w:val="auto"/>
                <w:kern w:val="2"/>
                <w:sz w:val="28"/>
                <w:szCs w:val="28"/>
              </w:rPr>
              <w:t>业主情况</w:t>
            </w:r>
          </w:p>
        </w:tc>
        <w:tc>
          <w:tcPr>
            <w:tcW w:w="6506" w:type="dxa"/>
            <w:gridSpan w:val="5"/>
            <w:vAlign w:val="center"/>
          </w:tcPr>
          <w:p>
            <w:pPr>
              <w:pStyle w:val="16"/>
              <w:spacing w:line="360" w:lineRule="auto"/>
              <w:rPr>
                <w:rFonts w:ascii="仿宋_GB2312" w:eastAsia="仿宋_GB2312" w:cs="仿宋_GB2312" w:hAnsi="仿宋_GB2312"/>
                <w:color w:val="auto"/>
                <w:sz w:val="28"/>
                <w:szCs w:val="28"/>
              </w:rPr>
            </w:pPr>
            <w:r>
              <w:rPr>
                <w:rFonts w:ascii="仿宋_GB2312" w:eastAsia="仿宋_GB2312" w:cs="Times New Roman" w:hint="eastAsia"/>
                <w:color w:val="auto"/>
                <w:sz w:val="21"/>
                <w:szCs w:val="21"/>
              </w:rPr>
              <w:t>□单一业主□业主≤</w:t>
            </w:r>
            <w:r>
              <w:rPr>
                <w:rFonts w:ascii="仿宋_GB2312" w:eastAsia="仿宋_GB2312" w:cs="Times New Roman"/>
                <w:color w:val="auto"/>
                <w:sz w:val="21"/>
                <w:szCs w:val="21"/>
              </w:rPr>
              <w:t>50</w:t>
            </w:r>
            <w:r>
              <w:rPr>
                <w:rFonts w:ascii="仿宋_GB2312" w:eastAsia="仿宋_GB2312" w:cs="Times New Roman" w:hint="eastAsia"/>
                <w:color w:val="auto"/>
                <w:sz w:val="21"/>
                <w:szCs w:val="21"/>
              </w:rPr>
              <w:t>户□业主≤</w:t>
            </w:r>
            <w:r>
              <w:rPr>
                <w:rFonts w:ascii="仿宋_GB2312" w:eastAsia="仿宋_GB2312" w:cs="Times New Roman"/>
                <w:color w:val="auto"/>
                <w:sz w:val="21"/>
                <w:szCs w:val="21"/>
              </w:rPr>
              <w:t>100</w:t>
            </w:r>
            <w:r>
              <w:rPr>
                <w:rFonts w:ascii="仿宋_GB2312" w:eastAsia="仿宋_GB2312" w:cs="Times New Roman" w:hint="eastAsia"/>
                <w:color w:val="auto"/>
                <w:sz w:val="21"/>
                <w:szCs w:val="21"/>
              </w:rPr>
              <w:t>户□业主＞</w:t>
            </w:r>
            <w:r>
              <w:rPr>
                <w:rFonts w:ascii="仿宋_GB2312" w:eastAsia="仿宋_GB2312" w:cs="Times New Roman"/>
                <w:color w:val="auto"/>
                <w:sz w:val="21"/>
                <w:szCs w:val="21"/>
              </w:rPr>
              <w:t>100</w:t>
            </w:r>
            <w:r>
              <w:rPr>
                <w:rFonts w:ascii="仿宋_GB2312" w:eastAsia="仿宋_GB2312" w:cs="Times New Roman" w:hint="eastAsia"/>
                <w:color w:val="auto"/>
                <w:sz w:val="21"/>
                <w:szCs w:val="21"/>
              </w:rPr>
              <w:t>户□在售房产</w:t>
            </w:r>
          </w:p>
        </w:tc>
      </w:tr>
      <w:tr>
        <w:trPr>
          <w:trHeight w:hRule="exact" w:val="580"/>
        </w:trPr>
        <w:tc>
          <w:tcPr>
            <w:tcW w:w="2413" w:type="dxa"/>
            <w:vAlign w:val="center"/>
          </w:tcPr>
          <w:p>
            <w:pPr>
              <w:snapToGrid w:val="0"/>
              <w:jc w:val="center"/>
              <w:rPr>
                <w:rFonts w:ascii="仿宋_GB2312" w:eastAsia="仿宋_GB2312" w:cs="仿宋_GB2312" w:hAnsi="仿宋_GB2312"/>
                <w:sz w:val="28"/>
                <w:szCs w:val="28"/>
              </w:rPr>
            </w:pPr>
            <w:r>
              <w:rPr>
                <w:rFonts w:ascii="仿宋_GB2312" w:eastAsia="仿宋_GB2312" w:cs="仿宋_GB2312" w:hAnsi="仿宋_GB2312" w:hint="eastAsia"/>
                <w:sz w:val="28"/>
                <w:szCs w:val="28"/>
              </w:rPr>
              <w:t>建筑高度（</w:t>
            </w:r>
            <w:r>
              <w:rPr>
                <w:rFonts w:ascii="仿宋_GB2312" w:eastAsia="仿宋_GB2312" w:cs="仿宋_GB2312" w:hAnsi="仿宋_GB2312"/>
                <w:sz w:val="28"/>
                <w:szCs w:val="28"/>
              </w:rPr>
              <w:t>m</w:t>
            </w:r>
            <w:r>
              <w:rPr>
                <w:rFonts w:ascii="仿宋_GB2312" w:eastAsia="仿宋_GB2312" w:cs="仿宋_GB2312" w:hAnsi="仿宋_GB2312" w:hint="eastAsia"/>
                <w:sz w:val="28"/>
                <w:szCs w:val="28"/>
              </w:rPr>
              <w:t>）</w:t>
            </w:r>
          </w:p>
        </w:tc>
        <w:tc>
          <w:tcPr>
            <w:tcW w:w="2332" w:type="dxa"/>
            <w:tcBorders>
              <w:top w:val="single" w:sz="4" w:space="0" w:color="auto"/>
              <w:left w:val="single" w:sz="4" w:space="0" w:color="auto"/>
              <w:right w:val="single" w:sz="4" w:space="0" w:color="auto"/>
            </w:tcBorders>
            <w:vAlign w:val="center"/>
          </w:tcPr>
          <w:p>
            <w:pPr>
              <w:snapToGrid w:val="0"/>
              <w:jc w:val="center"/>
              <w:rPr>
                <w:rFonts w:ascii="仿宋_GB2312" w:eastAsia="仿宋_GB2312" w:cs="仿宋_GB2312" w:hAnsi="仿宋_GB2312"/>
                <w:sz w:val="28"/>
                <w:szCs w:val="28"/>
              </w:rPr>
            </w:pPr>
          </w:p>
        </w:tc>
        <w:tc>
          <w:tcPr>
            <w:tcW w:w="1999" w:type="dxa"/>
            <w:gridSpan w:val="3"/>
            <w:tcBorders>
              <w:top w:val="single" w:sz="4" w:space="0" w:color="auto"/>
              <w:left w:val="single" w:sz="4" w:space="0" w:color="auto"/>
              <w:right w:val="single" w:sz="4" w:space="0" w:color="auto"/>
            </w:tcBorders>
            <w:vAlign w:val="center"/>
          </w:tcPr>
          <w:p>
            <w:pPr>
              <w:snapToGrid w:val="0"/>
              <w:jc w:val="center"/>
              <w:rPr>
                <w:rFonts w:ascii="仿宋_GB2312" w:eastAsia="仿宋_GB2312" w:cs="仿宋_GB2312" w:hAnsi="仿宋_GB2312"/>
                <w:sz w:val="28"/>
                <w:szCs w:val="28"/>
              </w:rPr>
            </w:pPr>
            <w:r>
              <w:rPr>
                <w:rFonts w:ascii="仿宋_GB2312" w:eastAsia="仿宋_GB2312" w:cs="仿宋_GB2312" w:hAnsi="仿宋_GB2312" w:hint="eastAsia"/>
                <w:sz w:val="28"/>
                <w:szCs w:val="28"/>
              </w:rPr>
              <w:t>建筑面积（</w:t>
            </w:r>
            <w:r>
              <w:rPr>
                <w:rFonts w:ascii="宋体" w:cs="宋体" w:hAnsi="宋体" w:hint="eastAsia"/>
                <w:sz w:val="28"/>
                <w:szCs w:val="28"/>
              </w:rPr>
              <w:t>㎡</w:t>
            </w:r>
            <w:r>
              <w:rPr>
                <w:rFonts w:ascii="仿宋_GB2312" w:eastAsia="仿宋_GB2312" w:cs="仿宋_GB2312" w:hAnsi="仿宋_GB2312" w:hint="eastAsia"/>
                <w:sz w:val="28"/>
                <w:szCs w:val="28"/>
              </w:rPr>
              <w:t>）</w:t>
            </w:r>
          </w:p>
        </w:tc>
        <w:tc>
          <w:tcPr>
            <w:tcW w:w="2175" w:type="dxa"/>
            <w:vAlign w:val="center"/>
          </w:tcPr>
          <w:p>
            <w:pPr>
              <w:snapToGrid w:val="0"/>
              <w:jc w:val="center"/>
              <w:rPr>
                <w:rFonts w:ascii="仿宋_GB2312" w:eastAsia="仿宋_GB2312" w:cs="仿宋_GB2312" w:hAnsi="仿宋_GB2312"/>
                <w:sz w:val="28"/>
                <w:szCs w:val="28"/>
              </w:rPr>
            </w:pPr>
          </w:p>
        </w:tc>
      </w:tr>
      <w:tr>
        <w:trPr>
          <w:trHeight w:hRule="exact" w:val="580"/>
        </w:trPr>
        <w:tc>
          <w:tcPr>
            <w:tcW w:w="2413" w:type="dxa"/>
            <w:vAlign w:val="center"/>
          </w:tcPr>
          <w:p>
            <w:pPr>
              <w:snapToGrid w:val="0"/>
              <w:jc w:val="center"/>
              <w:rPr>
                <w:rFonts w:ascii="仿宋_GB2312" w:eastAsia="仿宋_GB2312" w:cs="仿宋_GB2312" w:hAnsi="仿宋_GB2312"/>
                <w:sz w:val="28"/>
                <w:szCs w:val="28"/>
              </w:rPr>
            </w:pPr>
            <w:r>
              <w:rPr>
                <w:rFonts w:ascii="仿宋_GB2312" w:eastAsia="仿宋_GB2312" w:cs="仿宋_GB2312" w:hAnsi="仿宋_GB2312" w:hint="eastAsia"/>
                <w:sz w:val="28"/>
                <w:szCs w:val="28"/>
              </w:rPr>
              <w:t>建设单位</w:t>
            </w:r>
          </w:p>
        </w:tc>
        <w:tc>
          <w:tcPr>
            <w:tcW w:w="2332" w:type="dxa"/>
            <w:tcBorders>
              <w:top w:val="single" w:sz="4" w:space="0" w:color="auto"/>
              <w:left w:val="single" w:sz="4" w:space="0" w:color="auto"/>
              <w:right w:val="single" w:sz="4" w:space="0" w:color="auto"/>
            </w:tcBorders>
            <w:vAlign w:val="center"/>
          </w:tcPr>
          <w:p>
            <w:pPr>
              <w:snapToGrid w:val="0"/>
              <w:jc w:val="center"/>
              <w:rPr>
                <w:rFonts w:ascii="仿宋_GB2312" w:eastAsia="仿宋_GB2312" w:cs="仿宋_GB2312" w:hAnsi="仿宋_GB2312"/>
                <w:sz w:val="28"/>
                <w:szCs w:val="28"/>
              </w:rPr>
            </w:pPr>
          </w:p>
        </w:tc>
        <w:tc>
          <w:tcPr>
            <w:tcW w:w="1999" w:type="dxa"/>
            <w:gridSpan w:val="3"/>
            <w:tcBorders>
              <w:top w:val="single" w:sz="4" w:space="0" w:color="auto"/>
              <w:left w:val="single" w:sz="4" w:space="0" w:color="auto"/>
              <w:right w:val="single" w:sz="4" w:space="0" w:color="auto"/>
            </w:tcBorders>
            <w:vAlign w:val="center"/>
          </w:tcPr>
          <w:p>
            <w:pPr>
              <w:snapToGrid w:val="0"/>
              <w:jc w:val="center"/>
              <w:rPr>
                <w:rFonts w:ascii="仿宋_GB2312" w:eastAsia="仿宋_GB2312" w:cs="仿宋_GB2312" w:hAnsi="仿宋_GB2312"/>
                <w:sz w:val="28"/>
                <w:szCs w:val="28"/>
              </w:rPr>
            </w:pPr>
            <w:r>
              <w:rPr>
                <w:rFonts w:ascii="仿宋_GB2312" w:eastAsia="仿宋_GB2312" w:cs="仿宋_GB2312" w:hAnsi="仿宋_GB2312" w:hint="eastAsia"/>
                <w:sz w:val="28"/>
                <w:szCs w:val="28"/>
              </w:rPr>
              <w:t>设计单位</w:t>
            </w:r>
          </w:p>
        </w:tc>
        <w:tc>
          <w:tcPr>
            <w:tcW w:w="2175" w:type="dxa"/>
            <w:vAlign w:val="center"/>
          </w:tcPr>
          <w:p>
            <w:pPr>
              <w:snapToGrid w:val="0"/>
              <w:jc w:val="center"/>
              <w:rPr>
                <w:rFonts w:ascii="仿宋_GB2312" w:eastAsia="仿宋_GB2312" w:cs="仿宋_GB2312" w:hAnsi="仿宋_GB2312"/>
                <w:sz w:val="28"/>
                <w:szCs w:val="28"/>
              </w:rPr>
            </w:pPr>
          </w:p>
        </w:tc>
      </w:tr>
      <w:tr>
        <w:trPr>
          <w:trHeight w:hRule="exact" w:val="580"/>
        </w:trPr>
        <w:tc>
          <w:tcPr>
            <w:tcW w:w="2413" w:type="dxa"/>
            <w:vAlign w:val="center"/>
          </w:tcPr>
          <w:p>
            <w:pPr>
              <w:snapToGrid w:val="0"/>
              <w:jc w:val="center"/>
              <w:rPr>
                <w:rFonts w:ascii="仿宋_GB2312" w:eastAsia="仿宋_GB2312" w:cs="仿宋_GB2312" w:hAnsi="仿宋_GB2312"/>
                <w:sz w:val="28"/>
                <w:szCs w:val="28"/>
              </w:rPr>
            </w:pPr>
            <w:r>
              <w:rPr>
                <w:rFonts w:ascii="仿宋_GB2312" w:eastAsia="仿宋_GB2312" w:cs="仿宋_GB2312" w:hAnsi="仿宋_GB2312" w:hint="eastAsia"/>
                <w:sz w:val="28"/>
                <w:szCs w:val="28"/>
              </w:rPr>
              <w:t>施工单位</w:t>
            </w:r>
          </w:p>
        </w:tc>
        <w:tc>
          <w:tcPr>
            <w:tcW w:w="2332" w:type="dxa"/>
            <w:tcBorders>
              <w:top w:val="single" w:sz="4" w:space="0" w:color="auto"/>
              <w:left w:val="single" w:sz="4" w:space="0" w:color="auto"/>
              <w:right w:val="single" w:sz="4" w:space="0" w:color="auto"/>
            </w:tcBorders>
            <w:vAlign w:val="center"/>
          </w:tcPr>
          <w:p>
            <w:pPr>
              <w:snapToGrid w:val="0"/>
              <w:jc w:val="center"/>
              <w:rPr>
                <w:rFonts w:ascii="仿宋_GB2312" w:eastAsia="仿宋_GB2312" w:cs="仿宋_GB2312" w:hAnsi="仿宋_GB2312"/>
                <w:sz w:val="28"/>
                <w:szCs w:val="28"/>
              </w:rPr>
            </w:pPr>
          </w:p>
        </w:tc>
        <w:tc>
          <w:tcPr>
            <w:tcW w:w="1999" w:type="dxa"/>
            <w:gridSpan w:val="3"/>
            <w:tcBorders>
              <w:top w:val="single" w:sz="4" w:space="0" w:color="auto"/>
              <w:left w:val="single" w:sz="4" w:space="0" w:color="auto"/>
              <w:right w:val="single" w:sz="4" w:space="0" w:color="auto"/>
            </w:tcBorders>
            <w:vAlign w:val="center"/>
          </w:tcPr>
          <w:p>
            <w:pPr>
              <w:snapToGrid w:val="0"/>
              <w:jc w:val="center"/>
              <w:rPr>
                <w:rFonts w:ascii="仿宋_GB2312" w:eastAsia="仿宋_GB2312" w:cs="仿宋_GB2312" w:hAnsi="仿宋_GB2312"/>
                <w:sz w:val="28"/>
                <w:szCs w:val="28"/>
              </w:rPr>
            </w:pPr>
            <w:r>
              <w:rPr>
                <w:rFonts w:ascii="仿宋_GB2312" w:eastAsia="仿宋_GB2312" w:cs="仿宋_GB2312" w:hAnsi="仿宋_GB2312" w:hint="eastAsia"/>
                <w:sz w:val="28"/>
                <w:szCs w:val="28"/>
              </w:rPr>
              <w:t>监理单位</w:t>
            </w:r>
          </w:p>
        </w:tc>
        <w:tc>
          <w:tcPr>
            <w:tcW w:w="2175" w:type="dxa"/>
            <w:vAlign w:val="center"/>
          </w:tcPr>
          <w:p>
            <w:pPr>
              <w:snapToGrid w:val="0"/>
              <w:jc w:val="center"/>
              <w:rPr>
                <w:rFonts w:ascii="仿宋_GB2312" w:eastAsia="仿宋_GB2312" w:cs="仿宋_GB2312" w:hAnsi="仿宋_GB2312"/>
                <w:sz w:val="28"/>
                <w:szCs w:val="28"/>
              </w:rPr>
            </w:pPr>
          </w:p>
        </w:tc>
      </w:tr>
      <w:tr>
        <w:trPr>
          <w:trHeight w:hRule="exact" w:val="580"/>
        </w:trPr>
        <w:tc>
          <w:tcPr>
            <w:tcW w:w="2413" w:type="dxa"/>
            <w:vAlign w:val="center"/>
          </w:tcPr>
          <w:p>
            <w:pPr>
              <w:snapToGrid w:val="0"/>
              <w:jc w:val="center"/>
              <w:rPr>
                <w:rFonts w:ascii="仿宋_GB2312" w:eastAsia="仿宋_GB2312" w:cs="仿宋_GB2312" w:hAnsi="仿宋_GB2312"/>
                <w:sz w:val="28"/>
                <w:szCs w:val="28"/>
              </w:rPr>
            </w:pPr>
            <w:r>
              <w:rPr>
                <w:rFonts w:ascii="仿宋_GB2312" w:eastAsia="仿宋_GB2312" w:cs="仿宋_GB2312" w:hAnsi="仿宋_GB2312" w:hint="eastAsia"/>
                <w:sz w:val="24"/>
                <w:szCs w:val="24"/>
              </w:rPr>
              <w:t>维护检修责任人</w:t>
            </w:r>
          </w:p>
        </w:tc>
        <w:tc>
          <w:tcPr>
            <w:tcW w:w="6506" w:type="dxa"/>
            <w:gridSpan w:val="5"/>
            <w:vAlign w:val="center"/>
          </w:tcPr>
          <w:p>
            <w:pPr>
              <w:snapToGrid w:val="0"/>
              <w:jc w:val="center"/>
              <w:rPr>
                <w:rFonts w:ascii="仿宋_GB2312" w:eastAsia="仿宋_GB2312" w:cs="仿宋_GB2312" w:hAnsi="仿宋_GB2312"/>
                <w:sz w:val="28"/>
                <w:szCs w:val="28"/>
              </w:rPr>
            </w:pPr>
          </w:p>
        </w:tc>
      </w:tr>
      <w:tr>
        <w:trPr>
          <w:trHeight w:hRule="exact" w:val="580"/>
        </w:trPr>
        <w:tc>
          <w:tcPr>
            <w:tcW w:w="2413" w:type="dxa"/>
            <w:vAlign w:val="center"/>
          </w:tcPr>
          <w:p>
            <w:pPr>
              <w:snapToGrid w:val="0"/>
              <w:jc w:val="center"/>
              <w:rPr>
                <w:rFonts w:ascii="仿宋_GB2312" w:eastAsia="仿宋_GB2312" w:cs="仿宋_GB2312" w:hAnsi="仿宋_GB2312"/>
                <w:sz w:val="28"/>
                <w:szCs w:val="28"/>
              </w:rPr>
            </w:pPr>
            <w:r>
              <w:rPr>
                <w:rFonts w:ascii="仿宋" w:eastAsia="仿宋" w:cs="仿宋" w:hAnsi="仿宋" w:hint="eastAsia"/>
                <w:sz w:val="32"/>
                <w:szCs w:val="32"/>
              </w:rPr>
              <w:t>幕墙</w:t>
            </w:r>
            <w:r>
              <w:rPr>
                <w:rFonts w:ascii="仿宋_GB2312" w:eastAsia="仿宋_GB2312" w:cs="仿宋_GB2312" w:hAnsi="仿宋_GB2312" w:hint="eastAsia"/>
                <w:sz w:val="28"/>
                <w:szCs w:val="28"/>
              </w:rPr>
              <w:t>类型</w:t>
            </w:r>
          </w:p>
        </w:tc>
        <w:tc>
          <w:tcPr>
            <w:tcW w:w="6506" w:type="dxa"/>
            <w:gridSpan w:val="5"/>
            <w:vAlign w:val="center"/>
          </w:tcPr>
          <w:p>
            <w:pPr>
              <w:snapToGrid w:val="0"/>
              <w:jc w:val="center"/>
              <w:rPr>
                <w:rFonts w:ascii="仿宋_GB2312" w:eastAsia="仿宋_GB2312" w:cs="仿宋_GB2312" w:hAnsi="仿宋_GB2312"/>
                <w:sz w:val="28"/>
                <w:szCs w:val="28"/>
              </w:rPr>
            </w:pPr>
            <w:r>
              <w:rPr>
                <w:rFonts w:ascii="仿宋_GB2312" w:eastAsia="仿宋_GB2312" w:cs="仿宋_GB2312" w:hAnsi="仿宋_GB2312" w:hint="eastAsia"/>
                <w:sz w:val="28"/>
                <w:szCs w:val="28"/>
              </w:rPr>
              <w:t>□</w:t>
            </w:r>
            <w:r>
              <w:rPr>
                <w:rFonts w:ascii="仿宋" w:eastAsia="仿宋" w:cs="仿宋" w:hAnsi="仿宋" w:hint="eastAsia"/>
                <w:sz w:val="32"/>
                <w:szCs w:val="32"/>
              </w:rPr>
              <w:t>玻璃□金属□人造板材□石材□其</w:t>
            </w:r>
            <w:r>
              <w:rPr>
                <w:rFonts w:ascii="仿宋_GB2312" w:eastAsia="仿宋_GB2312" w:cs="仿宋_GB2312" w:hAnsi="仿宋_GB2312" w:hint="eastAsia"/>
                <w:sz w:val="28"/>
                <w:szCs w:val="28"/>
              </w:rPr>
              <w:t>它</w:t>
            </w:r>
          </w:p>
        </w:tc>
      </w:tr>
      <w:tr>
        <w:trPr>
          <w:trHeight w:hRule="exact" w:val="570"/>
        </w:trPr>
        <w:tc>
          <w:tcPr>
            <w:tcW w:w="2413" w:type="dxa"/>
            <w:vAlign w:val="center"/>
          </w:tcPr>
          <w:p>
            <w:pPr>
              <w:snapToGrid w:val="0"/>
              <w:jc w:val="center"/>
              <w:rPr>
                <w:rFonts w:ascii="仿宋_GB2312" w:eastAsia="仿宋_GB2312" w:cs="仿宋_GB2312" w:hAnsi="仿宋_GB2312"/>
                <w:sz w:val="28"/>
                <w:szCs w:val="28"/>
              </w:rPr>
            </w:pPr>
            <w:r>
              <w:rPr>
                <w:rFonts w:ascii="仿宋" w:eastAsia="仿宋" w:cs="仿宋" w:hAnsi="仿宋" w:hint="eastAsia"/>
                <w:sz w:val="32"/>
                <w:szCs w:val="32"/>
              </w:rPr>
              <w:t>幕墙</w:t>
            </w:r>
            <w:r>
              <w:rPr>
                <w:rFonts w:ascii="仿宋_GB2312" w:eastAsia="仿宋_GB2312" w:cs="仿宋_GB2312" w:hAnsi="仿宋_GB2312" w:hint="eastAsia"/>
                <w:sz w:val="28"/>
                <w:szCs w:val="28"/>
              </w:rPr>
              <w:t>高度（</w:t>
            </w:r>
            <w:r>
              <w:rPr>
                <w:rFonts w:ascii="仿宋_GB2312" w:eastAsia="仿宋_GB2312" w:cs="仿宋_GB2312" w:hAnsi="仿宋_GB2312"/>
                <w:sz w:val="28"/>
                <w:szCs w:val="28"/>
              </w:rPr>
              <w:t>m</w:t>
            </w:r>
            <w:r>
              <w:rPr>
                <w:rFonts w:ascii="仿宋_GB2312" w:eastAsia="仿宋_GB2312" w:cs="仿宋_GB2312" w:hAnsi="仿宋_GB2312" w:hint="eastAsia"/>
                <w:sz w:val="28"/>
                <w:szCs w:val="28"/>
              </w:rPr>
              <w:t>）</w:t>
            </w:r>
          </w:p>
        </w:tc>
        <w:tc>
          <w:tcPr>
            <w:tcW w:w="2332" w:type="dxa"/>
            <w:tcBorders>
              <w:top w:val="single" w:sz="4" w:space="0" w:color="auto"/>
              <w:left w:val="single" w:sz="4" w:space="0" w:color="auto"/>
              <w:right w:val="single" w:sz="4" w:space="0" w:color="auto"/>
            </w:tcBorders>
            <w:vAlign w:val="center"/>
          </w:tcPr>
          <w:p>
            <w:pPr>
              <w:snapToGrid w:val="0"/>
              <w:jc w:val="center"/>
              <w:rPr>
                <w:rFonts w:ascii="仿宋_GB2312" w:eastAsia="仿宋_GB2312" w:cs="仿宋_GB2312" w:hAnsi="仿宋_GB2312"/>
                <w:sz w:val="28"/>
                <w:szCs w:val="28"/>
              </w:rPr>
            </w:pPr>
          </w:p>
        </w:tc>
        <w:tc>
          <w:tcPr>
            <w:tcW w:w="1999" w:type="dxa"/>
            <w:gridSpan w:val="3"/>
            <w:tcBorders>
              <w:top w:val="single" w:sz="4" w:space="0" w:color="auto"/>
              <w:left w:val="single" w:sz="4" w:space="0" w:color="auto"/>
              <w:right w:val="single" w:sz="4" w:space="0" w:color="auto"/>
            </w:tcBorders>
            <w:vAlign w:val="center"/>
          </w:tcPr>
          <w:p>
            <w:pPr>
              <w:snapToGrid w:val="0"/>
              <w:jc w:val="center"/>
              <w:rPr>
                <w:rFonts w:ascii="仿宋_GB2312" w:eastAsia="仿宋_GB2312" w:cs="仿宋_GB2312" w:hAnsi="仿宋_GB2312"/>
                <w:sz w:val="28"/>
                <w:szCs w:val="28"/>
              </w:rPr>
            </w:pPr>
            <w:r>
              <w:rPr>
                <w:rFonts w:ascii="仿宋" w:eastAsia="仿宋" w:cs="仿宋" w:hAnsi="仿宋" w:hint="eastAsia"/>
                <w:sz w:val="32"/>
                <w:szCs w:val="32"/>
              </w:rPr>
              <w:t>幕墙</w:t>
            </w:r>
            <w:r>
              <w:rPr>
                <w:rFonts w:ascii="仿宋_GB2312" w:eastAsia="仿宋_GB2312" w:cs="仿宋_GB2312" w:hAnsi="仿宋_GB2312" w:hint="eastAsia"/>
                <w:sz w:val="28"/>
                <w:szCs w:val="28"/>
              </w:rPr>
              <w:t>面积（</w:t>
            </w:r>
            <w:r>
              <w:rPr>
                <w:rFonts w:ascii="宋体" w:cs="宋体" w:hAnsi="宋体" w:hint="eastAsia"/>
                <w:sz w:val="28"/>
                <w:szCs w:val="28"/>
              </w:rPr>
              <w:t>㎡</w:t>
            </w:r>
            <w:r>
              <w:rPr>
                <w:rFonts w:ascii="仿宋_GB2312" w:eastAsia="仿宋_GB2312" w:cs="仿宋_GB2312" w:hAnsi="仿宋_GB2312" w:hint="eastAsia"/>
                <w:sz w:val="28"/>
                <w:szCs w:val="28"/>
              </w:rPr>
              <w:t>）</w:t>
            </w:r>
          </w:p>
        </w:tc>
        <w:tc>
          <w:tcPr>
            <w:tcW w:w="2175" w:type="dxa"/>
            <w:vAlign w:val="center"/>
          </w:tcPr>
          <w:p>
            <w:pPr>
              <w:snapToGrid w:val="0"/>
              <w:jc w:val="center"/>
              <w:rPr>
                <w:rFonts w:ascii="仿宋_GB2312" w:eastAsia="仿宋_GB2312" w:cs="仿宋_GB2312" w:hAnsi="仿宋_GB2312"/>
                <w:sz w:val="28"/>
                <w:szCs w:val="28"/>
              </w:rPr>
            </w:pPr>
          </w:p>
        </w:tc>
      </w:tr>
      <w:tr>
        <w:trPr>
          <w:trHeight w:hRule="exact" w:val="580"/>
        </w:trPr>
        <w:tc>
          <w:tcPr>
            <w:tcW w:w="2413" w:type="dxa"/>
            <w:vAlign w:val="center"/>
          </w:tcPr>
          <w:p>
            <w:pPr>
              <w:snapToGrid w:val="0"/>
              <w:jc w:val="center"/>
              <w:rPr>
                <w:rFonts w:ascii="仿宋_GB2312" w:eastAsia="仿宋_GB2312" w:cs="仿宋_GB2312" w:hAnsi="仿宋_GB2312"/>
                <w:sz w:val="28"/>
                <w:szCs w:val="28"/>
              </w:rPr>
            </w:pPr>
            <w:r>
              <w:rPr>
                <w:rFonts w:ascii="仿宋" w:eastAsia="仿宋" w:cs="仿宋" w:hAnsi="仿宋" w:hint="eastAsia"/>
                <w:sz w:val="32"/>
                <w:szCs w:val="32"/>
              </w:rPr>
              <w:t>幕墙</w:t>
            </w:r>
            <w:r>
              <w:rPr>
                <w:rFonts w:ascii="仿宋_GB2312" w:eastAsia="仿宋_GB2312" w:cs="仿宋_GB2312" w:hAnsi="仿宋_GB2312" w:hint="eastAsia"/>
                <w:sz w:val="28"/>
                <w:szCs w:val="28"/>
              </w:rPr>
              <w:t>设计单位</w:t>
            </w:r>
          </w:p>
        </w:tc>
        <w:tc>
          <w:tcPr>
            <w:tcW w:w="2332" w:type="dxa"/>
            <w:tcBorders>
              <w:top w:val="single" w:sz="4" w:space="0" w:color="auto"/>
              <w:left w:val="single" w:sz="4" w:space="0" w:color="auto"/>
              <w:right w:val="single" w:sz="4" w:space="0" w:color="auto"/>
            </w:tcBorders>
            <w:vAlign w:val="center"/>
          </w:tcPr>
          <w:p>
            <w:pPr>
              <w:snapToGrid w:val="0"/>
              <w:jc w:val="center"/>
              <w:rPr>
                <w:rFonts w:ascii="仿宋_GB2312" w:eastAsia="仿宋_GB2312" w:cs="仿宋_GB2312" w:hAnsi="仿宋_GB2312"/>
                <w:sz w:val="28"/>
                <w:szCs w:val="28"/>
              </w:rPr>
            </w:pPr>
          </w:p>
        </w:tc>
        <w:tc>
          <w:tcPr>
            <w:tcW w:w="1999" w:type="dxa"/>
            <w:gridSpan w:val="3"/>
            <w:tcBorders>
              <w:top w:val="single" w:sz="4" w:space="0" w:color="auto"/>
              <w:left w:val="single" w:sz="4" w:space="0" w:color="auto"/>
              <w:right w:val="single" w:sz="4" w:space="0" w:color="auto"/>
            </w:tcBorders>
            <w:vAlign w:val="center"/>
          </w:tcPr>
          <w:p>
            <w:pPr>
              <w:snapToGrid w:val="0"/>
              <w:jc w:val="center"/>
              <w:rPr>
                <w:rFonts w:ascii="仿宋_GB2312" w:eastAsia="仿宋_GB2312" w:cs="仿宋_GB2312" w:hAnsi="仿宋_GB2312"/>
                <w:sz w:val="28"/>
                <w:szCs w:val="28"/>
              </w:rPr>
            </w:pPr>
            <w:r>
              <w:rPr>
                <w:rFonts w:ascii="仿宋" w:eastAsia="仿宋" w:cs="仿宋" w:hAnsi="仿宋" w:hint="eastAsia"/>
                <w:sz w:val="32"/>
                <w:szCs w:val="32"/>
              </w:rPr>
              <w:t>幕墙</w:t>
            </w:r>
            <w:r>
              <w:rPr>
                <w:rFonts w:ascii="仿宋_GB2312" w:eastAsia="仿宋_GB2312" w:cs="仿宋_GB2312" w:hAnsi="仿宋_GB2312" w:hint="eastAsia"/>
                <w:sz w:val="28"/>
                <w:szCs w:val="28"/>
              </w:rPr>
              <w:t>施工单位</w:t>
            </w:r>
          </w:p>
        </w:tc>
        <w:tc>
          <w:tcPr>
            <w:tcW w:w="2175" w:type="dxa"/>
            <w:vAlign w:val="center"/>
          </w:tcPr>
          <w:p>
            <w:pPr>
              <w:snapToGrid w:val="0"/>
              <w:jc w:val="center"/>
              <w:rPr>
                <w:rFonts w:ascii="仿宋_GB2312" w:eastAsia="仿宋_GB2312" w:cs="仿宋_GB2312" w:hAnsi="仿宋_GB2312"/>
                <w:sz w:val="28"/>
                <w:szCs w:val="28"/>
              </w:rPr>
            </w:pPr>
          </w:p>
        </w:tc>
      </w:tr>
      <w:tr>
        <w:trPr>
          <w:trHeight w:hRule="exact" w:val="580"/>
        </w:trPr>
        <w:tc>
          <w:tcPr>
            <w:tcW w:w="2413" w:type="dxa"/>
            <w:vAlign w:val="center"/>
          </w:tcPr>
          <w:p>
            <w:pPr>
              <w:snapToGrid w:val="0"/>
              <w:jc w:val="center"/>
              <w:rPr>
                <w:rFonts w:ascii="仿宋_GB2312" w:eastAsia="仿宋_GB2312" w:cs="仿宋_GB2312" w:hAnsi="仿宋_GB2312"/>
                <w:sz w:val="28"/>
                <w:szCs w:val="28"/>
              </w:rPr>
            </w:pPr>
            <w:r>
              <w:rPr>
                <w:rFonts w:ascii="仿宋" w:eastAsia="仿宋" w:cs="仿宋" w:hAnsi="仿宋" w:hint="eastAsia"/>
                <w:sz w:val="32"/>
                <w:szCs w:val="32"/>
              </w:rPr>
              <w:t>幕墙</w:t>
            </w:r>
            <w:r>
              <w:rPr>
                <w:rFonts w:ascii="仿宋_GB2312" w:eastAsia="仿宋_GB2312" w:cs="仿宋_GB2312" w:hAnsi="仿宋_GB2312" w:hint="eastAsia"/>
                <w:sz w:val="28"/>
                <w:szCs w:val="28"/>
              </w:rPr>
              <w:t>开工时间</w:t>
            </w:r>
          </w:p>
        </w:tc>
        <w:tc>
          <w:tcPr>
            <w:tcW w:w="2332" w:type="dxa"/>
            <w:tcBorders>
              <w:top w:val="single" w:sz="4" w:space="0" w:color="auto"/>
              <w:left w:val="single" w:sz="4" w:space="0" w:color="auto"/>
              <w:right w:val="single" w:sz="4" w:space="0" w:color="auto"/>
            </w:tcBorders>
            <w:vAlign w:val="center"/>
          </w:tcPr>
          <w:p>
            <w:pPr>
              <w:snapToGrid w:val="0"/>
              <w:jc w:val="center"/>
              <w:rPr>
                <w:rFonts w:ascii="仿宋_GB2312" w:eastAsia="仿宋_GB2312" w:cs="仿宋_GB2312" w:hAnsi="仿宋_GB2312"/>
                <w:sz w:val="28"/>
                <w:szCs w:val="28"/>
              </w:rPr>
            </w:pPr>
          </w:p>
        </w:tc>
        <w:tc>
          <w:tcPr>
            <w:tcW w:w="1999" w:type="dxa"/>
            <w:gridSpan w:val="3"/>
            <w:tcBorders>
              <w:top w:val="single" w:sz="4" w:space="0" w:color="auto"/>
              <w:left w:val="single" w:sz="4" w:space="0" w:color="auto"/>
              <w:right w:val="single" w:sz="4" w:space="0" w:color="auto"/>
            </w:tcBorders>
            <w:vAlign w:val="center"/>
          </w:tcPr>
          <w:p>
            <w:pPr>
              <w:snapToGrid w:val="0"/>
              <w:jc w:val="center"/>
              <w:rPr>
                <w:rFonts w:ascii="仿宋_GB2312" w:eastAsia="仿宋_GB2312" w:cs="仿宋_GB2312" w:hAnsi="仿宋_GB2312"/>
                <w:sz w:val="28"/>
                <w:szCs w:val="28"/>
              </w:rPr>
            </w:pPr>
            <w:r>
              <w:rPr>
                <w:rFonts w:ascii="仿宋" w:eastAsia="仿宋" w:cs="仿宋" w:hAnsi="仿宋" w:hint="eastAsia"/>
                <w:sz w:val="32"/>
                <w:szCs w:val="32"/>
              </w:rPr>
              <w:t>幕墙</w:t>
            </w:r>
            <w:r>
              <w:rPr>
                <w:rFonts w:ascii="仿宋_GB2312" w:eastAsia="仿宋_GB2312" w:cs="仿宋_GB2312" w:hAnsi="仿宋_GB2312" w:hint="eastAsia"/>
                <w:sz w:val="28"/>
                <w:szCs w:val="28"/>
              </w:rPr>
              <w:t>竣工时间</w:t>
            </w:r>
          </w:p>
        </w:tc>
        <w:tc>
          <w:tcPr>
            <w:tcW w:w="2175" w:type="dxa"/>
            <w:vAlign w:val="center"/>
          </w:tcPr>
          <w:p>
            <w:pPr>
              <w:snapToGrid w:val="0"/>
              <w:jc w:val="center"/>
              <w:rPr>
                <w:rFonts w:ascii="仿宋_GB2312" w:eastAsia="仿宋_GB2312" w:cs="仿宋_GB2312" w:hAnsi="仿宋_GB2312"/>
                <w:sz w:val="28"/>
                <w:szCs w:val="28"/>
              </w:rPr>
            </w:pPr>
          </w:p>
        </w:tc>
      </w:tr>
      <w:tr>
        <w:trPr>
          <w:trHeight w:hRule="exact" w:val="580"/>
        </w:trPr>
        <w:tc>
          <w:tcPr>
            <w:tcW w:w="2413" w:type="dxa"/>
            <w:vAlign w:val="center"/>
          </w:tcPr>
          <w:p>
            <w:pPr>
              <w:snapToGrid w:val="0"/>
              <w:jc w:val="center"/>
              <w:rPr>
                <w:rFonts w:ascii="仿宋_GB2312" w:eastAsia="仿宋_GB2312" w:cs="仿宋_GB2312" w:hAnsi="仿宋_GB2312"/>
                <w:sz w:val="28"/>
                <w:szCs w:val="28"/>
              </w:rPr>
            </w:pPr>
            <w:r>
              <w:rPr>
                <w:rFonts w:ascii="仿宋_GB2312" w:eastAsia="仿宋_GB2312" w:cs="仿宋_GB2312" w:hAnsi="仿宋_GB2312" w:hint="eastAsia"/>
                <w:sz w:val="28"/>
                <w:szCs w:val="28"/>
              </w:rPr>
              <w:t>房屋用途</w:t>
            </w:r>
          </w:p>
        </w:tc>
        <w:tc>
          <w:tcPr>
            <w:tcW w:w="6506" w:type="dxa"/>
            <w:gridSpan w:val="5"/>
            <w:vAlign w:val="center"/>
          </w:tcPr>
          <w:p>
            <w:pPr>
              <w:snapToGrid w:val="0"/>
              <w:jc w:val="center"/>
              <w:rPr>
                <w:rFonts w:ascii="仿宋_GB2312" w:eastAsia="仿宋_GB2312" w:cs="仿宋_GB2312" w:hAnsi="仿宋_GB2312"/>
                <w:sz w:val="28"/>
                <w:szCs w:val="28"/>
              </w:rPr>
            </w:pPr>
          </w:p>
        </w:tc>
      </w:tr>
      <w:tr>
        <w:trPr>
          <w:trHeight w:hRule="exact" w:val="2116"/>
        </w:trPr>
        <w:tc>
          <w:tcPr>
            <w:tcW w:w="8919" w:type="dxa"/>
            <w:gridSpan w:val="6"/>
            <w:vAlign w:val="center"/>
          </w:tcPr>
          <w:p>
            <w:pPr>
              <w:snapToGrid w:val="0"/>
              <w:jc w:val="center"/>
              <w:rPr>
                <w:rFonts w:ascii="仿宋_GB2312" w:eastAsia="仿宋_GB2312" w:cs="仿宋_GB2312" w:hAnsi="仿宋_GB2312"/>
                <w:sz w:val="28"/>
                <w:szCs w:val="28"/>
              </w:rPr>
            </w:pPr>
          </w:p>
        </w:tc>
      </w:tr>
    </w:tbl>
    <w:p/>
    <w:p>
      <w:pPr>
        <w:spacing w:line="360" w:lineRule="auto"/>
        <w:rPr>
          <w:rFonts w:ascii="宋体" w:cs="宋体"/>
          <w:b/>
          <w:sz w:val="32"/>
          <w:szCs w:val="32"/>
        </w:rPr>
      </w:pPr>
    </w:p>
    <w:p>
      <w:pPr>
        <w:spacing w:line="360" w:lineRule="auto"/>
        <w:rPr>
          <w:rFonts w:ascii="宋体" w:cs="宋体"/>
          <w:b/>
          <w:sz w:val="32"/>
          <w:szCs w:val="32"/>
        </w:rPr>
      </w:pPr>
    </w:p>
    <w:p>
      <w:pPr>
        <w:spacing w:line="360" w:lineRule="auto"/>
        <w:rPr>
          <w:rFonts w:ascii="宋体" w:cs="宋体"/>
          <w:b/>
          <w:sz w:val="32"/>
          <w:szCs w:val="32"/>
        </w:rPr>
      </w:pPr>
    </w:p>
    <w:p>
      <w:pPr>
        <w:spacing w:line="360" w:lineRule="auto"/>
        <w:rPr>
          <w:rFonts w:ascii="宋体" w:cs="宋体"/>
          <w:b/>
          <w:sz w:val="32"/>
          <w:szCs w:val="32"/>
        </w:rPr>
      </w:pPr>
    </w:p>
    <w:p>
      <w:pPr>
        <w:spacing w:line="360" w:lineRule="auto"/>
        <w:rPr>
          <w:rFonts w:ascii="宋体" w:cs="宋体"/>
          <w:b/>
          <w:sz w:val="32"/>
          <w:szCs w:val="32"/>
        </w:rPr>
      </w:pPr>
    </w:p>
    <w:p>
      <w:pPr>
        <w:spacing w:line="360" w:lineRule="auto"/>
        <w:rPr>
          <w:rFonts w:ascii="黑体" w:eastAsia="黑体" w:cs="仿宋_GB2312" w:hAnsi="黑体"/>
          <w:b/>
          <w:bCs/>
          <w:sz w:val="32"/>
          <w:szCs w:val="32"/>
        </w:rPr>
      </w:pPr>
      <w:r>
        <w:rPr>
          <w:rFonts w:ascii="黑体" w:eastAsia="黑体" w:cs="宋体" w:hAnsi="黑体" w:hint="eastAsia"/>
          <w:b/>
          <w:sz w:val="32"/>
          <w:szCs w:val="32"/>
        </w:rPr>
        <w:t>附件</w:t>
      </w:r>
      <w:r>
        <w:rPr>
          <w:rFonts w:ascii="黑体" w:eastAsia="黑体" w:cs="宋体" w:hAnsi="黑体"/>
          <w:b/>
          <w:sz w:val="32"/>
          <w:szCs w:val="32"/>
        </w:rPr>
        <w:t>3</w:t>
      </w:r>
      <w:r>
        <w:rPr>
          <w:rFonts w:ascii="黑体" w:eastAsia="黑体" w:cs="仿宋_GB2312" w:hAnsi="黑体" w:hint="eastAsia"/>
          <w:b/>
          <w:bCs/>
          <w:sz w:val="32"/>
          <w:szCs w:val="32"/>
        </w:rPr>
        <w:t>建筑幕墙安全使用注意事项</w:t>
      </w:r>
    </w:p>
    <w:p>
      <w:pPr>
        <w:spacing w:line="360" w:lineRule="auto"/>
        <w:ind w:firstLineChars="200" w:firstLine="560"/>
        <w:rPr>
          <w:rFonts w:ascii="仿宋_GB2312" w:eastAsia="仿宋_GB2312" w:cs="仿宋_GB2312"/>
          <w:sz w:val="28"/>
          <w:szCs w:val="28"/>
        </w:rPr>
      </w:pPr>
      <w:r>
        <w:rPr>
          <w:rFonts w:ascii="仿宋_GB2312" w:eastAsia="仿宋_GB2312" w:cs="仿宋_GB2312" w:hAnsi="宋体" w:hint="eastAsia"/>
          <w:sz w:val="28"/>
          <w:szCs w:val="28"/>
        </w:rPr>
        <w:t>1.不得在建筑幕墙构件上附加幕墙设计以外的其他设施及荷载。</w:t>
      </w:r>
    </w:p>
    <w:p>
      <w:pPr>
        <w:spacing w:line="360" w:lineRule="auto"/>
        <w:ind w:firstLineChars="200" w:firstLine="560"/>
        <w:rPr>
          <w:rFonts w:ascii="仿宋_GB2312" w:eastAsia="仿宋_GB2312" w:cs="仿宋_GB2312"/>
          <w:sz w:val="28"/>
          <w:szCs w:val="28"/>
        </w:rPr>
      </w:pPr>
      <w:r>
        <w:rPr>
          <w:rFonts w:ascii="仿宋_GB2312" w:eastAsia="仿宋_GB2312" w:cs="仿宋_GB2312" w:hAnsi="宋体" w:hint="eastAsia"/>
          <w:sz w:val="28"/>
          <w:szCs w:val="28"/>
        </w:rPr>
        <w:t>2.不得随意移动、拆卸、更改建筑幕墙的支承杆件、面板和连接件等有损安全和正常使用的构件和构造。</w:t>
      </w:r>
    </w:p>
    <w:p>
      <w:pPr>
        <w:spacing w:line="360" w:lineRule="auto"/>
        <w:ind w:firstLineChars="200" w:firstLine="560"/>
        <w:rPr>
          <w:rFonts w:ascii="仿宋_GB2312" w:eastAsia="仿宋_GB2312" w:cs="仿宋_GB2312"/>
          <w:sz w:val="28"/>
          <w:szCs w:val="28"/>
        </w:rPr>
      </w:pPr>
      <w:r>
        <w:rPr>
          <w:rFonts w:ascii="仿宋_GB2312" w:eastAsia="仿宋_GB2312" w:cs="仿宋_GB2312" w:hAnsi="宋体" w:hint="eastAsia"/>
          <w:sz w:val="28"/>
          <w:szCs w:val="28"/>
        </w:rPr>
        <w:t>3.幕墙开启扇位置应加设使用方法标牌，并不得将物件挂在开启扇、窗铰链、风撑或执手上，室内无人或遇强风、大雨天气应关闭开启扇。</w:t>
      </w:r>
    </w:p>
    <w:p>
      <w:pPr>
        <w:spacing w:line="360" w:lineRule="auto"/>
        <w:ind w:firstLineChars="200" w:firstLine="560"/>
        <w:rPr>
          <w:rFonts w:ascii="仿宋_GB2312" w:eastAsia="仿宋_GB2312" w:cs="仿宋_GB2312"/>
          <w:sz w:val="28"/>
          <w:szCs w:val="28"/>
        </w:rPr>
      </w:pPr>
      <w:r>
        <w:rPr>
          <w:rFonts w:ascii="仿宋_GB2312" w:eastAsia="仿宋_GB2312" w:cs="仿宋_GB2312" w:hAnsi="宋体" w:hint="eastAsia"/>
          <w:sz w:val="28"/>
          <w:szCs w:val="28"/>
        </w:rPr>
        <w:t>4.应定期观察开启扇的状况，检查及清理窗铰链上的异物，加添适当和适量的润滑剂，使开启扇保持良好的启闭性能。</w:t>
      </w:r>
    </w:p>
    <w:p>
      <w:pPr>
        <w:spacing w:line="360" w:lineRule="auto"/>
        <w:ind w:firstLineChars="200" w:firstLine="560"/>
        <w:rPr>
          <w:rFonts w:ascii="仿宋_GB2312" w:eastAsia="仿宋_GB2312" w:cs="仿宋_GB2312"/>
          <w:sz w:val="28"/>
          <w:szCs w:val="28"/>
        </w:rPr>
      </w:pPr>
      <w:r>
        <w:rPr>
          <w:rFonts w:ascii="仿宋_GB2312" w:eastAsia="仿宋_GB2312" w:cs="仿宋_GB2312" w:hAnsi="宋体" w:hint="eastAsia"/>
          <w:sz w:val="28"/>
          <w:szCs w:val="28"/>
        </w:rPr>
        <w:t>5.开启扇启闭受阻时不得强行打开或关闭，发现窗铰链、风撑、执手及其连接紧固件损毁、松脱、锈蚀或缺漏，开启扇变形、不稳固或明显下坠，应及时通知或请专业人员处理和维修。</w:t>
      </w:r>
    </w:p>
    <w:p>
      <w:pPr>
        <w:spacing w:line="360" w:lineRule="auto"/>
        <w:ind w:firstLineChars="200" w:firstLine="560"/>
        <w:rPr>
          <w:rFonts w:ascii="仿宋_GB2312" w:eastAsia="仿宋_GB2312" w:cs="仿宋_GB2312"/>
          <w:sz w:val="28"/>
          <w:szCs w:val="28"/>
        </w:rPr>
      </w:pPr>
      <w:r>
        <w:rPr>
          <w:rFonts w:ascii="仿宋_GB2312" w:eastAsia="仿宋_GB2312" w:cs="仿宋_GB2312" w:hAnsi="宋体" w:hint="eastAsia"/>
          <w:sz w:val="28"/>
          <w:szCs w:val="28"/>
        </w:rPr>
        <w:t>6.发现幕墙玻璃、石材等饰面板存在破裂、松脱、坠落伤害事故风险的，物业服务企业应当按照物业服务委托合同聘请专业机构采取必要的临时防护措施。</w:t>
      </w:r>
    </w:p>
    <w:p>
      <w:pPr>
        <w:spacing w:line="360" w:lineRule="auto"/>
        <w:ind w:firstLineChars="200" w:firstLine="560"/>
        <w:rPr>
          <w:rFonts w:ascii="仿宋_GB2312" w:eastAsia="仿宋_GB2312" w:cs="仿宋_GB2312"/>
          <w:sz w:val="28"/>
          <w:szCs w:val="28"/>
        </w:rPr>
      </w:pPr>
      <w:r>
        <w:rPr>
          <w:rFonts w:ascii="仿宋_GB2312" w:eastAsia="仿宋_GB2312" w:cs="仿宋_GB2312" w:hAnsi="宋体" w:hint="eastAsia"/>
          <w:sz w:val="28"/>
          <w:szCs w:val="28"/>
        </w:rPr>
        <w:t>7.对存在面板爆裂、坠落伤害事故风险的建筑幕墙应当根据不同情况，在建筑幕墙下部采取设置挑檐或者绿化带等必要的防护措施。</w:t>
      </w:r>
    </w:p>
    <w:p>
      <w:pPr>
        <w:spacing w:line="360" w:lineRule="auto"/>
        <w:ind w:firstLineChars="200" w:firstLine="560"/>
        <w:rPr>
          <w:rFonts w:ascii="仿宋_GB2312" w:eastAsia="仿宋_GB2312" w:cs="仿宋_GB2312"/>
          <w:sz w:val="28"/>
          <w:szCs w:val="28"/>
        </w:rPr>
      </w:pPr>
      <w:r>
        <w:rPr>
          <w:rFonts w:ascii="仿宋_GB2312" w:eastAsia="仿宋_GB2312" w:cs="仿宋_GB2312" w:hAnsi="宋体" w:hint="eastAsia"/>
          <w:sz w:val="28"/>
          <w:szCs w:val="28"/>
        </w:rPr>
        <w:t>8.进行室内装修时，不得破坏和改变幕墙与主体的连接构造、防火封堵和防雷连接；室内装修分隔墙宜与幕墙立柱协调，不得把分隔墙位置直接设在幕墙玻璃分格内；分隔墙、室内吊顶、地面饰面板与幕墙杆件间应留变形缝，采用密封材料作弹性密封；窗帘盒不得固定在幕墙杆件上，窗帘距幕墙应有一定距离。</w:t>
      </w:r>
    </w:p>
    <w:p>
      <w:pPr>
        <w:spacing w:line="360" w:lineRule="auto"/>
        <w:ind w:firstLineChars="200" w:firstLine="560"/>
        <w:rPr>
          <w:rFonts w:ascii="仿宋_GB2312" w:eastAsia="仿宋_GB2312" w:cs="仿宋_GB2312"/>
          <w:sz w:val="28"/>
          <w:szCs w:val="28"/>
        </w:rPr>
      </w:pPr>
      <w:r>
        <w:rPr>
          <w:rFonts w:ascii="仿宋_GB2312" w:eastAsia="仿宋_GB2312" w:cs="仿宋_GB2312" w:hAnsi="宋体" w:hint="eastAsia"/>
          <w:sz w:val="28"/>
          <w:szCs w:val="28"/>
        </w:rPr>
        <w:t>9.需要在幕墙位置设置霓虹灯、招牌及广告等设施时，应委托有相应资质的设计施工单位进行设计施工。增加的设施对幕墙结构及性能有影响时，应进行复核计算。施工技术资料应按改扩建工程要求归档。</w:t>
      </w:r>
    </w:p>
    <w:p>
      <w:pPr>
        <w:spacing w:line="360" w:lineRule="auto"/>
        <w:ind w:firstLineChars="200" w:firstLine="560"/>
        <w:rPr>
          <w:rFonts w:ascii="仿宋_GB2312" w:eastAsia="仿宋_GB2312"/>
          <w:sz w:val="28"/>
          <w:szCs w:val="28"/>
        </w:rPr>
      </w:pPr>
      <w:r>
        <w:rPr>
          <w:rFonts w:ascii="仿宋_GB2312" w:eastAsia="仿宋_GB2312" w:cs="仿宋_GB2312" w:hAnsi="宋体" w:hint="eastAsia"/>
          <w:sz w:val="28"/>
          <w:szCs w:val="28"/>
        </w:rPr>
        <w:t>10.影响和危害建筑幕墙安全使用的其他行为。</w:t>
      </w:r>
    </w:p>
    <w:p>
      <w:pPr>
        <w:spacing w:line="360" w:lineRule="auto"/>
        <w:jc w:val="center"/>
      </w:pPr>
    </w:p>
    <w:p>
      <w:pPr>
        <w:spacing w:line="360" w:lineRule="auto"/>
        <w:jc w:val="center"/>
      </w:pPr>
    </w:p>
    <w:p>
      <w:pPr>
        <w:spacing w:line="360" w:lineRule="auto"/>
        <w:jc w:val="center"/>
        <w:sectPr>
          <w:pgSz w:w="11906" w:h="16838"/>
          <w:pgMar w:top="1440" w:right="1800" w:bottom="1440" w:left="1800" w:header="851" w:footer="992" w:gutter="0"/>
          <w:pgNumType/>
          <w:cols w:num="1" w:space="720"/>
          <w:docGrid w:type="lines" w:linePitch="312" w:charSpace="0"/>
        </w:sectPr>
      </w:pPr>
    </w:p>
    <w:p>
      <w:pPr>
        <w:spacing w:line="360" w:lineRule="auto"/>
        <w:rPr>
          <w:rFonts w:ascii="黑体" w:eastAsia="黑体" w:cs="仿宋_GB2312" w:hAnsi="黑体"/>
          <w:b/>
          <w:bCs/>
          <w:sz w:val="32"/>
          <w:szCs w:val="32"/>
        </w:rPr>
      </w:pPr>
      <w:r>
        <w:rPr>
          <w:rFonts w:ascii="黑体" w:eastAsia="黑体" w:cs="宋体" w:hAnsi="黑体" w:hint="eastAsia"/>
          <w:b/>
          <w:bCs/>
          <w:sz w:val="32"/>
          <w:szCs w:val="32"/>
        </w:rPr>
        <w:t>附件</w:t>
      </w:r>
      <w:r>
        <w:rPr>
          <w:rFonts w:ascii="黑体" w:eastAsia="黑体" w:cs="宋体" w:hAnsi="黑体"/>
          <w:b/>
          <w:bCs/>
          <w:sz w:val="32"/>
          <w:szCs w:val="32"/>
        </w:rPr>
        <w:t>4</w:t>
      </w:r>
      <w:r>
        <w:rPr>
          <w:rFonts w:ascii="黑体" w:eastAsia="黑体" w:cs="仿宋_GB2312" w:hAnsi="黑体" w:hint="eastAsia"/>
          <w:b/>
          <w:bCs/>
          <w:sz w:val="32"/>
          <w:szCs w:val="32"/>
        </w:rPr>
        <w:t>南京市建筑幕墙使用维护情况报表（样表）</w:t>
      </w:r>
    </w:p>
    <w:p>
      <w:pPr>
        <w:pStyle w:val="52"/>
        <w:widowControl/>
        <w:spacing w:line="240" w:lineRule="exact"/>
        <w:ind w:firstLineChars="0" w:firstLine="0"/>
        <w:jc w:val="left"/>
        <w:rPr>
          <w:rFonts w:ascii="仿宋_GB2312" w:eastAsia="仿宋_GB2312" w:hAnsi="Times New Roman"/>
          <w:sz w:val="32"/>
          <w:szCs w:val="32"/>
        </w:rPr>
      </w:pPr>
      <w:r>
        <w:rPr>
          <w:rFonts w:ascii="仿宋_GB2312" w:eastAsia="仿宋_GB2312" w:hAnsi="Times New Roman" w:hint="eastAsia"/>
          <w:b/>
          <w:bCs/>
          <w:szCs w:val="21"/>
        </w:rPr>
        <w:t>单位（盖章）：填报日期：年月日</w:t>
      </w:r>
    </w:p>
    <w:tbl>
      <w:tblPr>
        <w:jc w:val="left"/>
        <w:tblInd w:w="0" w:type="dxa"/>
        <w:tblW w:w="930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0" w:type="dxa"/>
          <w:left w:w="108" w:type="dxa"/>
          <w:bottom w:w="0" w:type="dxa"/>
          <w:right w:w="108" w:type="dxa"/>
        </w:tblCellMar>
      </w:tblPr>
      <w:tblGrid>
        <w:gridCol w:w="429"/>
        <w:gridCol w:w="1399"/>
        <w:gridCol w:w="539"/>
        <w:gridCol w:w="242"/>
        <w:gridCol w:w="2005"/>
        <w:gridCol w:w="1658"/>
        <w:gridCol w:w="1186"/>
        <w:gridCol w:w="1851"/>
      </w:tblGrid>
      <w:tr>
        <w:trPr>
          <w:trHeight w:hRule="exact" w:val="425"/>
        </w:trPr>
        <w:tc>
          <w:tcPr>
            <w:tcW w:w="1828" w:type="dxa"/>
            <w:gridSpan w:val="2"/>
            <w:tcBorders>
              <w:top w:val="single" w:sz="4" w:space="0" w:color="auto"/>
            </w:tcBorders>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建筑名称</w:t>
            </w:r>
          </w:p>
        </w:tc>
        <w:tc>
          <w:tcPr>
            <w:tcW w:w="2786" w:type="dxa"/>
            <w:gridSpan w:val="3"/>
            <w:tcBorders>
              <w:top w:val="single" w:sz="4" w:space="0" w:color="auto"/>
            </w:tcBorders>
            <w:vAlign w:val="center"/>
          </w:tcPr>
          <w:p>
            <w:pPr>
              <w:pStyle w:val="16"/>
              <w:spacing w:line="360" w:lineRule="auto"/>
              <w:jc w:val="center"/>
              <w:rPr>
                <w:rFonts w:ascii="仿宋_GB2312" w:eastAsia="仿宋_GB2312" w:cs="Times New Roman"/>
                <w:color w:val="auto"/>
                <w:sz w:val="21"/>
                <w:szCs w:val="21"/>
              </w:rPr>
            </w:pPr>
          </w:p>
        </w:tc>
        <w:tc>
          <w:tcPr>
            <w:tcW w:w="1658" w:type="dxa"/>
            <w:tcBorders>
              <w:top w:val="single" w:sz="4" w:space="0" w:color="auto"/>
            </w:tcBorders>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登记代码</w:t>
            </w:r>
          </w:p>
        </w:tc>
        <w:tc>
          <w:tcPr>
            <w:tcW w:w="3037" w:type="dxa"/>
            <w:gridSpan w:val="2"/>
            <w:tcBorders>
              <w:top w:val="single" w:sz="4" w:space="0" w:color="auto"/>
            </w:tcBorders>
            <w:vAlign w:val="center"/>
          </w:tcPr>
          <w:p>
            <w:pPr>
              <w:pStyle w:val="16"/>
              <w:spacing w:line="360" w:lineRule="auto"/>
              <w:jc w:val="center"/>
              <w:rPr>
                <w:rFonts w:ascii="仿宋_GB2312" w:eastAsia="仿宋_GB2312" w:cs="Times New Roman"/>
                <w:color w:val="auto"/>
                <w:sz w:val="21"/>
                <w:szCs w:val="21"/>
              </w:rPr>
            </w:pPr>
          </w:p>
        </w:tc>
      </w:tr>
      <w:tr>
        <w:trPr>
          <w:trHeight w:hRule="exact" w:val="425"/>
        </w:trPr>
        <w:tc>
          <w:tcPr>
            <w:tcW w:w="1828" w:type="dxa"/>
            <w:gridSpan w:val="2"/>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建筑地址</w:t>
            </w:r>
          </w:p>
        </w:tc>
        <w:tc>
          <w:tcPr>
            <w:tcW w:w="2786" w:type="dxa"/>
            <w:gridSpan w:val="3"/>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sz w:val="21"/>
                <w:szCs w:val="21"/>
              </w:rPr>
            </w:pPr>
          </w:p>
        </w:tc>
        <w:tc>
          <w:tcPr>
            <w:tcW w:w="1658" w:type="dxa"/>
            <w:tcBorders>
              <w:top w:val="single" w:sz="6" w:space="0" w:color="auto"/>
              <w:left w:val="single" w:sz="6" w:space="0" w:color="auto"/>
              <w:right w:val="single" w:sz="6" w:space="0" w:color="auto"/>
            </w:tcBorders>
            <w:vAlign w:val="center"/>
          </w:tcPr>
          <w:p>
            <w:pPr>
              <w:pStyle w:val="16"/>
              <w:rPr>
                <w:rFonts w:ascii="仿宋_GB2312" w:eastAsia="仿宋_GB2312" w:cs="Times New Roman"/>
                <w:color w:val="auto"/>
                <w:sz w:val="21"/>
                <w:szCs w:val="21"/>
              </w:rPr>
            </w:pPr>
            <w:r>
              <w:rPr>
                <w:rFonts w:ascii="仿宋_GB2312" w:eastAsia="仿宋_GB2312" w:cs="Times New Roman" w:hint="eastAsia"/>
                <w:color w:val="auto"/>
                <w:sz w:val="21"/>
                <w:szCs w:val="21"/>
              </w:rPr>
              <w:t>房屋产权号</w:t>
            </w:r>
            <w:r>
              <w:rPr>
                <w:rFonts w:ascii="仿宋_GB2312" w:eastAsia="仿宋_GB2312" w:cs="Times New Roman"/>
                <w:color w:val="auto"/>
                <w:sz w:val="21"/>
                <w:szCs w:val="21"/>
              </w:rPr>
              <w:t>/</w:t>
            </w:r>
            <w:r>
              <w:rPr>
                <w:rFonts w:ascii="仿宋_GB2312" w:eastAsia="仿宋_GB2312" w:cs="Times New Roman" w:hint="eastAsia"/>
                <w:color w:val="auto"/>
                <w:sz w:val="21"/>
                <w:szCs w:val="21"/>
              </w:rPr>
              <w:t>丘号</w:t>
            </w:r>
          </w:p>
          <w:p>
            <w:pPr>
              <w:pStyle w:val="16"/>
              <w:spacing w:line="360" w:lineRule="auto"/>
              <w:jc w:val="center"/>
              <w:rPr>
                <w:rFonts w:ascii="仿宋_GB2312" w:eastAsia="仿宋_GB2312" w:cs="Times New Roman"/>
                <w:color w:val="auto"/>
                <w:sz w:val="21"/>
                <w:szCs w:val="21"/>
              </w:rPr>
            </w:pPr>
            <w:r>
              <w:rPr>
                <w:rFonts w:ascii="仿宋_GB2312" w:eastAsia="仿宋_GB2312" w:cs="Times New Roman"/>
                <w:color w:val="auto"/>
                <w:sz w:val="21"/>
                <w:szCs w:val="21"/>
              </w:rPr>
              <w:t>/</w:t>
            </w:r>
            <w:r>
              <w:rPr>
                <w:rFonts w:ascii="仿宋_GB2312" w:eastAsia="仿宋_GB2312" w:cs="Times New Roman" w:hint="eastAsia"/>
                <w:color w:val="auto"/>
                <w:sz w:val="21"/>
                <w:szCs w:val="21"/>
              </w:rPr>
              <w:t>丘号</w:t>
            </w:r>
          </w:p>
        </w:tc>
        <w:tc>
          <w:tcPr>
            <w:tcW w:w="3037" w:type="dxa"/>
            <w:gridSpan w:val="2"/>
            <w:vAlign w:val="center"/>
          </w:tcPr>
          <w:p>
            <w:pPr>
              <w:pStyle w:val="16"/>
              <w:spacing w:line="360" w:lineRule="auto"/>
              <w:jc w:val="center"/>
              <w:rPr>
                <w:rFonts w:ascii="仿宋_GB2312" w:eastAsia="仿宋_GB2312" w:cs="Times New Roman"/>
                <w:color w:val="auto"/>
                <w:sz w:val="21"/>
                <w:szCs w:val="21"/>
              </w:rPr>
            </w:pPr>
          </w:p>
        </w:tc>
      </w:tr>
      <w:tr>
        <w:trPr>
          <w:trHeight w:hRule="exact" w:val="425"/>
        </w:trPr>
        <w:tc>
          <w:tcPr>
            <w:tcW w:w="1828" w:type="dxa"/>
            <w:gridSpan w:val="2"/>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业主情况</w:t>
            </w:r>
          </w:p>
        </w:tc>
        <w:tc>
          <w:tcPr>
            <w:tcW w:w="7481" w:type="dxa"/>
            <w:gridSpan w:val="6"/>
            <w:vAlign w:val="center"/>
          </w:tcPr>
          <w:p>
            <w:pPr>
              <w:pStyle w:val="16"/>
              <w:spacing w:line="360" w:lineRule="auto"/>
              <w:rPr>
                <w:rFonts w:ascii="仿宋_GB2312" w:eastAsia="仿宋_GB2312" w:cs="Times New Roman"/>
                <w:color w:val="auto"/>
                <w:sz w:val="21"/>
                <w:szCs w:val="21"/>
              </w:rPr>
            </w:pPr>
            <w:r>
              <w:rPr>
                <w:rFonts w:ascii="仿宋_GB2312" w:eastAsia="仿宋_GB2312" w:cs="Times New Roman" w:hint="eastAsia"/>
                <w:color w:val="auto"/>
                <w:sz w:val="21"/>
                <w:szCs w:val="21"/>
              </w:rPr>
              <w:t>□单一业主□业主≤</w:t>
            </w:r>
            <w:r>
              <w:rPr>
                <w:rFonts w:ascii="仿宋_GB2312" w:eastAsia="仿宋_GB2312" w:cs="Times New Roman"/>
                <w:color w:val="auto"/>
                <w:sz w:val="21"/>
                <w:szCs w:val="21"/>
              </w:rPr>
              <w:t>50</w:t>
            </w:r>
            <w:r>
              <w:rPr>
                <w:rFonts w:ascii="仿宋_GB2312" w:eastAsia="仿宋_GB2312" w:cs="Times New Roman" w:hint="eastAsia"/>
                <w:color w:val="auto"/>
                <w:sz w:val="21"/>
                <w:szCs w:val="21"/>
              </w:rPr>
              <w:t>户□业主≤</w:t>
            </w:r>
            <w:r>
              <w:rPr>
                <w:rFonts w:ascii="仿宋_GB2312" w:eastAsia="仿宋_GB2312" w:cs="Times New Roman"/>
                <w:color w:val="auto"/>
                <w:sz w:val="21"/>
                <w:szCs w:val="21"/>
              </w:rPr>
              <w:t>100</w:t>
            </w:r>
            <w:r>
              <w:rPr>
                <w:rFonts w:ascii="仿宋_GB2312" w:eastAsia="仿宋_GB2312" w:cs="Times New Roman" w:hint="eastAsia"/>
                <w:color w:val="auto"/>
                <w:sz w:val="21"/>
                <w:szCs w:val="21"/>
              </w:rPr>
              <w:t>户□业主＞</w:t>
            </w:r>
            <w:r>
              <w:rPr>
                <w:rFonts w:ascii="仿宋_GB2312" w:eastAsia="仿宋_GB2312" w:cs="Times New Roman"/>
                <w:color w:val="auto"/>
                <w:sz w:val="21"/>
                <w:szCs w:val="21"/>
              </w:rPr>
              <w:t>100</w:t>
            </w:r>
            <w:r>
              <w:rPr>
                <w:rFonts w:ascii="仿宋_GB2312" w:eastAsia="仿宋_GB2312" w:cs="Times New Roman" w:hint="eastAsia"/>
                <w:color w:val="auto"/>
                <w:sz w:val="21"/>
                <w:szCs w:val="21"/>
              </w:rPr>
              <w:t>户□在售房产</w:t>
            </w:r>
          </w:p>
        </w:tc>
      </w:tr>
      <w:tr>
        <w:trPr>
          <w:trHeight w:hRule="exact" w:val="425"/>
        </w:trPr>
        <w:tc>
          <w:tcPr>
            <w:tcW w:w="2609" w:type="dxa"/>
            <w:gridSpan w:val="4"/>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安全维护责任人（代理人）</w:t>
            </w:r>
          </w:p>
        </w:tc>
        <w:tc>
          <w:tcPr>
            <w:tcW w:w="3663" w:type="dxa"/>
            <w:gridSpan w:val="2"/>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sz w:val="21"/>
                <w:szCs w:val="21"/>
              </w:rPr>
            </w:pPr>
          </w:p>
        </w:tc>
        <w:tc>
          <w:tcPr>
            <w:tcW w:w="1186"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是否有变更</w:t>
            </w:r>
          </w:p>
        </w:tc>
        <w:tc>
          <w:tcPr>
            <w:tcW w:w="1851" w:type="dxa"/>
            <w:vAlign w:val="center"/>
          </w:tcPr>
          <w:p>
            <w:pPr>
              <w:pStyle w:val="16"/>
              <w:spacing w:line="360" w:lineRule="auto"/>
              <w:rPr>
                <w:rFonts w:ascii="仿宋_GB2312" w:eastAsia="仿宋_GB2312" w:cs="Times New Roman"/>
                <w:color w:val="auto"/>
                <w:sz w:val="21"/>
                <w:szCs w:val="21"/>
              </w:rPr>
            </w:pPr>
            <w:r>
              <w:rPr>
                <w:rFonts w:ascii="仿宋_GB2312" w:eastAsia="仿宋_GB2312" w:cs="Times New Roman" w:hint="eastAsia"/>
                <w:color w:val="auto"/>
                <w:sz w:val="21"/>
                <w:szCs w:val="21"/>
              </w:rPr>
              <w:t>□有□无</w:t>
            </w:r>
          </w:p>
        </w:tc>
      </w:tr>
      <w:tr>
        <w:trPr>
          <w:trHeight w:hRule="exact" w:val="440"/>
        </w:trPr>
        <w:tc>
          <w:tcPr>
            <w:tcW w:w="2609" w:type="dxa"/>
            <w:gridSpan w:val="4"/>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联系人姓名</w:t>
            </w:r>
          </w:p>
        </w:tc>
        <w:tc>
          <w:tcPr>
            <w:tcW w:w="2005"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sz w:val="21"/>
                <w:szCs w:val="21"/>
              </w:rPr>
            </w:pPr>
          </w:p>
        </w:tc>
        <w:tc>
          <w:tcPr>
            <w:tcW w:w="1658"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联系电话</w:t>
            </w:r>
          </w:p>
        </w:tc>
        <w:tc>
          <w:tcPr>
            <w:tcW w:w="3037" w:type="dxa"/>
            <w:gridSpan w:val="2"/>
            <w:vAlign w:val="center"/>
          </w:tcPr>
          <w:p>
            <w:pPr>
              <w:pStyle w:val="16"/>
              <w:spacing w:line="360" w:lineRule="auto"/>
              <w:jc w:val="center"/>
              <w:rPr>
                <w:rFonts w:ascii="仿宋_GB2312" w:eastAsia="仿宋_GB2312" w:cs="Times New Roman"/>
                <w:color w:val="auto"/>
                <w:sz w:val="21"/>
                <w:szCs w:val="21"/>
              </w:rPr>
            </w:pPr>
          </w:p>
        </w:tc>
      </w:tr>
      <w:tr>
        <w:trPr>
          <w:trHeight w:hRule="exact" w:val="425"/>
        </w:trPr>
        <w:tc>
          <w:tcPr>
            <w:tcW w:w="1828" w:type="dxa"/>
            <w:gridSpan w:val="2"/>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建筑高度（</w:t>
            </w:r>
            <w:r>
              <w:rPr>
                <w:rFonts w:ascii="仿宋_GB2312" w:eastAsia="仿宋_GB2312" w:cs="Times New Roman"/>
                <w:color w:val="auto"/>
                <w:sz w:val="21"/>
                <w:szCs w:val="21"/>
              </w:rPr>
              <w:t>m</w:t>
            </w:r>
            <w:r>
              <w:rPr>
                <w:rFonts w:ascii="仿宋_GB2312" w:eastAsia="仿宋_GB2312" w:cs="Times New Roman" w:hint="eastAsia"/>
                <w:color w:val="auto"/>
                <w:sz w:val="21"/>
                <w:szCs w:val="21"/>
              </w:rPr>
              <w:t>）</w:t>
            </w:r>
          </w:p>
        </w:tc>
        <w:tc>
          <w:tcPr>
            <w:tcW w:w="2786" w:type="dxa"/>
            <w:gridSpan w:val="3"/>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sz w:val="21"/>
                <w:szCs w:val="21"/>
              </w:rPr>
            </w:pPr>
          </w:p>
        </w:tc>
        <w:tc>
          <w:tcPr>
            <w:tcW w:w="1658"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建筑面积（</w:t>
            </w:r>
            <w:r>
              <w:rPr>
                <w:rFonts w:ascii="仿宋_GB2312" w:eastAsia="仿宋_GB2312"/>
                <w:color w:val="auto"/>
                <w:szCs w:val="21"/>
              </w:rPr>
              <w:t>m</w:t>
            </w:r>
            <w:r>
              <w:rPr>
                <w:rFonts w:ascii="仿宋_GB2312" w:eastAsia="仿宋_GB2312"/>
                <w:color w:val="auto"/>
                <w:szCs w:val="21"/>
                <w:vertAlign w:val="superscript"/>
              </w:rPr>
              <w:t>2</w:t>
            </w:r>
            <w:r>
              <w:rPr>
                <w:rFonts w:ascii="仿宋_GB2312" w:eastAsia="仿宋_GB2312" w:cs="Times New Roman" w:hint="eastAsia"/>
                <w:color w:val="auto"/>
                <w:sz w:val="21"/>
                <w:szCs w:val="21"/>
              </w:rPr>
              <w:t>）</w:t>
            </w:r>
          </w:p>
        </w:tc>
        <w:tc>
          <w:tcPr>
            <w:tcW w:w="3037" w:type="dxa"/>
            <w:gridSpan w:val="2"/>
            <w:vAlign w:val="center"/>
          </w:tcPr>
          <w:p>
            <w:pPr>
              <w:pStyle w:val="16"/>
              <w:spacing w:line="360" w:lineRule="auto"/>
              <w:jc w:val="center"/>
              <w:rPr>
                <w:rFonts w:ascii="仿宋_GB2312" w:eastAsia="仿宋_GB2312" w:cs="Times New Roman"/>
                <w:color w:val="auto"/>
                <w:sz w:val="21"/>
                <w:szCs w:val="21"/>
              </w:rPr>
            </w:pPr>
          </w:p>
        </w:tc>
      </w:tr>
      <w:tr>
        <w:trPr>
          <w:trHeight w:hRule="exact" w:val="425"/>
        </w:trPr>
        <w:tc>
          <w:tcPr>
            <w:tcW w:w="1828" w:type="dxa"/>
            <w:gridSpan w:val="2"/>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建设单位</w:t>
            </w:r>
          </w:p>
        </w:tc>
        <w:tc>
          <w:tcPr>
            <w:tcW w:w="2786" w:type="dxa"/>
            <w:gridSpan w:val="3"/>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sz w:val="21"/>
                <w:szCs w:val="21"/>
              </w:rPr>
            </w:pPr>
          </w:p>
        </w:tc>
        <w:tc>
          <w:tcPr>
            <w:tcW w:w="1658"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设计单位</w:t>
            </w:r>
          </w:p>
        </w:tc>
        <w:tc>
          <w:tcPr>
            <w:tcW w:w="3037" w:type="dxa"/>
            <w:gridSpan w:val="2"/>
            <w:vAlign w:val="center"/>
          </w:tcPr>
          <w:p>
            <w:pPr>
              <w:pStyle w:val="16"/>
              <w:spacing w:line="360" w:lineRule="auto"/>
              <w:jc w:val="center"/>
              <w:rPr>
                <w:rFonts w:ascii="仿宋_GB2312" w:eastAsia="仿宋_GB2312" w:cs="Times New Roman"/>
                <w:color w:val="auto"/>
                <w:sz w:val="21"/>
                <w:szCs w:val="21"/>
              </w:rPr>
            </w:pPr>
          </w:p>
        </w:tc>
      </w:tr>
      <w:tr>
        <w:trPr>
          <w:trHeight w:hRule="exact" w:val="425"/>
        </w:trPr>
        <w:tc>
          <w:tcPr>
            <w:tcW w:w="1828" w:type="dxa"/>
            <w:gridSpan w:val="2"/>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施工单位</w:t>
            </w:r>
          </w:p>
        </w:tc>
        <w:tc>
          <w:tcPr>
            <w:tcW w:w="2786" w:type="dxa"/>
            <w:gridSpan w:val="3"/>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sz w:val="21"/>
                <w:szCs w:val="21"/>
              </w:rPr>
            </w:pPr>
          </w:p>
        </w:tc>
        <w:tc>
          <w:tcPr>
            <w:tcW w:w="1658"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监理单位</w:t>
            </w:r>
          </w:p>
        </w:tc>
        <w:tc>
          <w:tcPr>
            <w:tcW w:w="3037" w:type="dxa"/>
            <w:gridSpan w:val="2"/>
            <w:vAlign w:val="center"/>
          </w:tcPr>
          <w:p>
            <w:pPr>
              <w:pStyle w:val="16"/>
              <w:spacing w:line="360" w:lineRule="auto"/>
              <w:jc w:val="center"/>
              <w:rPr>
                <w:rFonts w:ascii="仿宋_GB2312" w:eastAsia="仿宋_GB2312" w:cs="Times New Roman"/>
                <w:color w:val="auto"/>
                <w:sz w:val="21"/>
                <w:szCs w:val="21"/>
              </w:rPr>
            </w:pPr>
          </w:p>
        </w:tc>
      </w:tr>
      <w:tr>
        <w:trPr>
          <w:trHeight w:hRule="exact" w:val="425"/>
        </w:trPr>
        <w:tc>
          <w:tcPr>
            <w:tcW w:w="1828" w:type="dxa"/>
            <w:gridSpan w:val="2"/>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幕墙类型</w:t>
            </w:r>
          </w:p>
        </w:tc>
        <w:tc>
          <w:tcPr>
            <w:tcW w:w="7481" w:type="dxa"/>
            <w:gridSpan w:val="6"/>
            <w:vAlign w:val="center"/>
          </w:tcPr>
          <w:p>
            <w:pPr>
              <w:pStyle w:val="16"/>
              <w:spacing w:line="360" w:lineRule="auto"/>
              <w:jc w:val="both"/>
              <w:rPr>
                <w:rFonts w:ascii="仿宋_GB2312" w:eastAsia="仿宋_GB2312" w:cs="Times New Roman"/>
                <w:color w:val="auto"/>
                <w:sz w:val="21"/>
                <w:szCs w:val="21"/>
              </w:rPr>
            </w:pPr>
            <w:r>
              <w:rPr>
                <w:rFonts w:ascii="仿宋_GB2312" w:eastAsia="仿宋_GB2312" w:cs="Times New Roman" w:hint="eastAsia"/>
                <w:color w:val="auto"/>
                <w:sz w:val="21"/>
                <w:szCs w:val="21"/>
              </w:rPr>
              <w:t>□玻璃□金属□人造板材□石材□其它</w:t>
            </w:r>
          </w:p>
        </w:tc>
      </w:tr>
      <w:tr>
        <w:trPr>
          <w:trHeight w:hRule="exact" w:val="425"/>
        </w:trPr>
        <w:tc>
          <w:tcPr>
            <w:tcW w:w="1828" w:type="dxa"/>
            <w:gridSpan w:val="2"/>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幕墙高度（</w:t>
            </w:r>
            <w:r>
              <w:rPr>
                <w:rFonts w:ascii="仿宋_GB2312" w:eastAsia="仿宋_GB2312" w:cs="Times New Roman"/>
                <w:color w:val="auto"/>
                <w:sz w:val="21"/>
                <w:szCs w:val="21"/>
              </w:rPr>
              <w:t>m</w:t>
            </w:r>
            <w:r>
              <w:rPr>
                <w:rFonts w:ascii="仿宋_GB2312" w:eastAsia="仿宋_GB2312" w:cs="Times New Roman" w:hint="eastAsia"/>
                <w:color w:val="auto"/>
                <w:sz w:val="21"/>
                <w:szCs w:val="21"/>
              </w:rPr>
              <w:t>）</w:t>
            </w:r>
          </w:p>
        </w:tc>
        <w:tc>
          <w:tcPr>
            <w:tcW w:w="2786" w:type="dxa"/>
            <w:gridSpan w:val="3"/>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sz w:val="21"/>
                <w:szCs w:val="21"/>
              </w:rPr>
            </w:pPr>
          </w:p>
        </w:tc>
        <w:tc>
          <w:tcPr>
            <w:tcW w:w="1658"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幕墙面积（</w:t>
            </w:r>
            <w:r>
              <w:rPr>
                <w:rFonts w:ascii="仿宋_GB2312" w:eastAsia="仿宋_GB2312"/>
                <w:color w:val="auto"/>
                <w:szCs w:val="21"/>
              </w:rPr>
              <w:t>m</w:t>
            </w:r>
            <w:r>
              <w:rPr>
                <w:rFonts w:ascii="仿宋_GB2312" w:eastAsia="仿宋_GB2312"/>
                <w:color w:val="auto"/>
                <w:szCs w:val="21"/>
                <w:vertAlign w:val="superscript"/>
              </w:rPr>
              <w:t>2</w:t>
            </w:r>
            <w:r>
              <w:rPr>
                <w:rFonts w:ascii="仿宋_GB2312" w:eastAsia="仿宋_GB2312" w:cs="Times New Roman" w:hint="eastAsia"/>
                <w:color w:val="auto"/>
                <w:sz w:val="21"/>
                <w:szCs w:val="21"/>
              </w:rPr>
              <w:t>）</w:t>
            </w:r>
          </w:p>
        </w:tc>
        <w:tc>
          <w:tcPr>
            <w:tcW w:w="3037" w:type="dxa"/>
            <w:gridSpan w:val="2"/>
            <w:vAlign w:val="center"/>
          </w:tcPr>
          <w:p>
            <w:pPr>
              <w:pStyle w:val="16"/>
              <w:spacing w:line="360" w:lineRule="auto"/>
              <w:jc w:val="center"/>
              <w:rPr>
                <w:rFonts w:ascii="仿宋_GB2312" w:eastAsia="仿宋_GB2312" w:cs="Times New Roman"/>
                <w:color w:val="auto"/>
                <w:sz w:val="21"/>
                <w:szCs w:val="21"/>
              </w:rPr>
            </w:pPr>
          </w:p>
        </w:tc>
      </w:tr>
      <w:tr>
        <w:trPr>
          <w:trHeight w:hRule="exact" w:val="425"/>
        </w:trPr>
        <w:tc>
          <w:tcPr>
            <w:tcW w:w="1828" w:type="dxa"/>
            <w:gridSpan w:val="2"/>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幕墙设计单位</w:t>
            </w:r>
          </w:p>
        </w:tc>
        <w:tc>
          <w:tcPr>
            <w:tcW w:w="2786" w:type="dxa"/>
            <w:gridSpan w:val="3"/>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sz w:val="21"/>
                <w:szCs w:val="21"/>
              </w:rPr>
            </w:pPr>
          </w:p>
        </w:tc>
        <w:tc>
          <w:tcPr>
            <w:tcW w:w="1658"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幕墙施工单位</w:t>
            </w:r>
          </w:p>
        </w:tc>
        <w:tc>
          <w:tcPr>
            <w:tcW w:w="3037" w:type="dxa"/>
            <w:gridSpan w:val="2"/>
            <w:vAlign w:val="center"/>
          </w:tcPr>
          <w:p>
            <w:pPr>
              <w:pStyle w:val="16"/>
              <w:spacing w:line="360" w:lineRule="auto"/>
              <w:jc w:val="center"/>
              <w:rPr>
                <w:rFonts w:ascii="仿宋_GB2312" w:eastAsia="仿宋_GB2312" w:cs="Times New Roman"/>
                <w:color w:val="auto"/>
                <w:sz w:val="21"/>
                <w:szCs w:val="21"/>
              </w:rPr>
            </w:pPr>
          </w:p>
        </w:tc>
      </w:tr>
      <w:tr>
        <w:trPr>
          <w:trHeight w:hRule="exact" w:val="425"/>
        </w:trPr>
        <w:tc>
          <w:tcPr>
            <w:tcW w:w="1828" w:type="dxa"/>
            <w:gridSpan w:val="2"/>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幕墙开工时间</w:t>
            </w:r>
          </w:p>
        </w:tc>
        <w:tc>
          <w:tcPr>
            <w:tcW w:w="2786" w:type="dxa"/>
            <w:gridSpan w:val="3"/>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sz w:val="21"/>
                <w:szCs w:val="21"/>
              </w:rPr>
            </w:pPr>
          </w:p>
        </w:tc>
        <w:tc>
          <w:tcPr>
            <w:tcW w:w="1658" w:type="dxa"/>
            <w:tcBorders>
              <w:top w:val="single" w:sz="6" w:space="0" w:color="auto"/>
              <w:left w:val="single" w:sz="6" w:space="0" w:color="auto"/>
              <w:right w:val="single" w:sz="6" w:space="0" w:color="auto"/>
            </w:tcBorders>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幕墙竣工时间</w:t>
            </w:r>
          </w:p>
        </w:tc>
        <w:tc>
          <w:tcPr>
            <w:tcW w:w="3037" w:type="dxa"/>
            <w:gridSpan w:val="2"/>
            <w:vAlign w:val="center"/>
          </w:tcPr>
          <w:p>
            <w:pPr>
              <w:pStyle w:val="16"/>
              <w:spacing w:line="360" w:lineRule="auto"/>
              <w:jc w:val="center"/>
              <w:rPr>
                <w:rFonts w:ascii="仿宋_GB2312" w:eastAsia="仿宋_GB2312" w:cs="Times New Roman"/>
                <w:color w:val="auto"/>
                <w:sz w:val="21"/>
                <w:szCs w:val="21"/>
              </w:rPr>
            </w:pPr>
          </w:p>
        </w:tc>
      </w:tr>
      <w:tr>
        <w:trPr>
          <w:trHeight w:hRule="exact" w:val="935"/>
        </w:trPr>
        <w:tc>
          <w:tcPr>
            <w:tcW w:w="1828" w:type="dxa"/>
            <w:gridSpan w:val="2"/>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房屋用途</w:t>
            </w:r>
          </w:p>
          <w:p>
            <w:pPr>
              <w:pStyle w:val="16"/>
              <w:spacing w:line="360" w:lineRule="auto"/>
              <w:jc w:val="center"/>
              <w:rPr>
                <w:rFonts w:ascii="仿宋_GB2312" w:eastAsia="仿宋_GB2312" w:cs="Times New Roman"/>
                <w:color w:val="auto"/>
                <w:sz w:val="21"/>
                <w:szCs w:val="21"/>
              </w:rPr>
            </w:pPr>
          </w:p>
          <w:p>
            <w:pPr>
              <w:pStyle w:val="16"/>
              <w:spacing w:line="360" w:lineRule="auto"/>
              <w:jc w:val="center"/>
              <w:rPr>
                <w:rFonts w:ascii="仿宋_GB2312" w:eastAsia="仿宋_GB2312" w:cs="Times New Roman"/>
                <w:color w:val="auto"/>
                <w:sz w:val="21"/>
                <w:szCs w:val="21"/>
              </w:rPr>
            </w:pPr>
          </w:p>
          <w:p>
            <w:pPr>
              <w:pStyle w:val="16"/>
              <w:spacing w:line="360" w:lineRule="auto"/>
              <w:jc w:val="center"/>
              <w:rPr>
                <w:rFonts w:ascii="仿宋_GB2312" w:eastAsia="仿宋_GB2312" w:cs="Times New Roman"/>
                <w:color w:val="auto"/>
                <w:sz w:val="21"/>
                <w:szCs w:val="21"/>
              </w:rPr>
            </w:pPr>
          </w:p>
          <w:p>
            <w:pPr>
              <w:pStyle w:val="16"/>
              <w:spacing w:line="360" w:lineRule="auto"/>
              <w:jc w:val="center"/>
              <w:rPr>
                <w:rFonts w:ascii="仿宋_GB2312" w:eastAsia="仿宋_GB2312" w:cs="Times New Roman"/>
                <w:color w:val="auto"/>
                <w:sz w:val="21"/>
                <w:szCs w:val="21"/>
              </w:rPr>
            </w:pPr>
          </w:p>
        </w:tc>
        <w:tc>
          <w:tcPr>
            <w:tcW w:w="7481" w:type="dxa"/>
            <w:gridSpan w:val="6"/>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□住宅□校舍□公寓□办公□商业□文化□娱乐□体育□金融□信息□教育□医疗卫生□科研□工业□交通□仓储□其它</w:t>
            </w:r>
          </w:p>
        </w:tc>
      </w:tr>
      <w:tr>
        <w:trPr>
          <w:trHeight w:hRule="exact" w:val="454"/>
        </w:trPr>
        <w:tc>
          <w:tcPr>
            <w:tcW w:w="429" w:type="dxa"/>
            <w:vMerge w:val="restart"/>
            <w:vAlign w:val="center"/>
          </w:tcPr>
          <w:p>
            <w:pPr>
              <w:jc w:val="center"/>
              <w:rPr>
                <w:rFonts w:ascii="仿宋_GB2312" w:eastAsia="仿宋_GB2312"/>
                <w:b/>
                <w:bCs/>
                <w:szCs w:val="21"/>
              </w:rPr>
            </w:pPr>
            <w:r>
              <w:rPr>
                <w:rFonts w:ascii="仿宋_GB2312" w:eastAsia="仿宋_GB2312" w:hint="eastAsia"/>
                <w:b/>
                <w:bCs/>
                <w:szCs w:val="21"/>
              </w:rPr>
              <w:t>技术</w:t>
            </w:r>
          </w:p>
          <w:p>
            <w:pPr>
              <w:jc w:val="center"/>
              <w:rPr>
                <w:rFonts w:ascii="仿宋_GB2312" w:eastAsia="仿宋_GB2312"/>
                <w:b/>
                <w:bCs/>
                <w:szCs w:val="21"/>
              </w:rPr>
            </w:pPr>
            <w:r>
              <w:rPr>
                <w:rFonts w:ascii="仿宋_GB2312" w:eastAsia="仿宋_GB2312" w:hint="eastAsia"/>
                <w:b/>
                <w:bCs/>
                <w:szCs w:val="21"/>
              </w:rPr>
              <w:t>资料</w:t>
            </w:r>
          </w:p>
        </w:tc>
        <w:tc>
          <w:tcPr>
            <w:tcW w:w="1399" w:type="dxa"/>
            <w:tcBorders>
              <w:right w:val="single" w:sz="4" w:space="0" w:color="auto"/>
            </w:tcBorders>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设计类</w:t>
            </w:r>
          </w:p>
        </w:tc>
        <w:tc>
          <w:tcPr>
            <w:tcW w:w="7481" w:type="dxa"/>
            <w:gridSpan w:val="6"/>
            <w:tcBorders>
              <w:left w:val="single" w:sz="4" w:space="0" w:color="auto"/>
            </w:tcBorders>
            <w:vAlign w:val="center"/>
          </w:tcPr>
          <w:p>
            <w:pPr>
              <w:pStyle w:val="16"/>
              <w:jc w:val="both"/>
              <w:rPr>
                <w:rFonts w:ascii="仿宋_GB2312" w:eastAsia="仿宋_GB2312" w:cs="Times New Roman"/>
                <w:color w:val="auto"/>
                <w:sz w:val="21"/>
                <w:szCs w:val="21"/>
              </w:rPr>
            </w:pPr>
            <w:r>
              <w:rPr>
                <w:rFonts w:ascii="仿宋_GB2312" w:eastAsia="仿宋_GB2312" w:cs="Times New Roman" w:hint="eastAsia"/>
                <w:color w:val="auto"/>
                <w:sz w:val="21"/>
                <w:szCs w:val="21"/>
              </w:rPr>
              <w:t>□完整□不完整□没有</w:t>
            </w:r>
          </w:p>
        </w:tc>
      </w:tr>
      <w:tr>
        <w:trPr>
          <w:trHeight w:hRule="exact" w:val="454"/>
        </w:trPr>
        <w:tc>
          <w:tcPr>
            <w:tcW w:w="429" w:type="dxa"/>
            <w:vMerge/>
            <w:vAlign w:val="center"/>
          </w:tcPr>
          <w:p/>
        </w:tc>
        <w:tc>
          <w:tcPr>
            <w:tcW w:w="1399" w:type="dxa"/>
            <w:tcBorders>
              <w:right w:val="single" w:sz="4" w:space="0" w:color="auto"/>
            </w:tcBorders>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施工类</w:t>
            </w:r>
          </w:p>
        </w:tc>
        <w:tc>
          <w:tcPr>
            <w:tcW w:w="7481" w:type="dxa"/>
            <w:gridSpan w:val="6"/>
            <w:tcBorders>
              <w:left w:val="single" w:sz="4" w:space="0" w:color="auto"/>
            </w:tcBorders>
            <w:vAlign w:val="center"/>
          </w:tcPr>
          <w:p>
            <w:pPr>
              <w:pStyle w:val="16"/>
              <w:jc w:val="both"/>
              <w:rPr>
                <w:rFonts w:ascii="仿宋_GB2312" w:eastAsia="仿宋_GB2312" w:cs="Times New Roman"/>
                <w:color w:val="auto"/>
                <w:sz w:val="21"/>
                <w:szCs w:val="21"/>
              </w:rPr>
            </w:pPr>
            <w:r>
              <w:rPr>
                <w:rFonts w:ascii="仿宋_GB2312" w:eastAsia="仿宋_GB2312" w:cs="Times New Roman" w:hint="eastAsia"/>
                <w:color w:val="auto"/>
                <w:sz w:val="21"/>
                <w:szCs w:val="21"/>
              </w:rPr>
              <w:t>□完整□不完整□没有</w:t>
            </w:r>
          </w:p>
        </w:tc>
      </w:tr>
      <w:tr>
        <w:trPr>
          <w:trHeight w:hRule="exact" w:val="382"/>
        </w:trPr>
        <w:tc>
          <w:tcPr>
            <w:tcW w:w="429" w:type="dxa"/>
            <w:vMerge/>
            <w:vAlign w:val="center"/>
          </w:tcPr>
          <w:p/>
        </w:tc>
        <w:tc>
          <w:tcPr>
            <w:tcW w:w="1399" w:type="dxa"/>
            <w:tcBorders>
              <w:bottom w:val="single" w:sz="4" w:space="0" w:color="auto"/>
              <w:right w:val="single" w:sz="4" w:space="0" w:color="auto"/>
            </w:tcBorders>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验收类</w:t>
            </w:r>
          </w:p>
        </w:tc>
        <w:tc>
          <w:tcPr>
            <w:tcW w:w="7481" w:type="dxa"/>
            <w:gridSpan w:val="6"/>
            <w:tcBorders>
              <w:left w:val="single" w:sz="4" w:space="0" w:color="auto"/>
              <w:bottom w:val="single" w:sz="4" w:space="0" w:color="auto"/>
            </w:tcBorders>
            <w:vAlign w:val="center"/>
          </w:tcPr>
          <w:p>
            <w:pPr>
              <w:pStyle w:val="16"/>
              <w:jc w:val="both"/>
              <w:rPr>
                <w:rFonts w:ascii="仿宋_GB2312" w:eastAsia="仿宋_GB2312" w:cs="Times New Roman"/>
                <w:color w:val="auto"/>
                <w:sz w:val="21"/>
                <w:szCs w:val="21"/>
              </w:rPr>
            </w:pPr>
            <w:r>
              <w:rPr>
                <w:rFonts w:ascii="仿宋_GB2312" w:eastAsia="仿宋_GB2312" w:cs="Times New Roman" w:hint="eastAsia"/>
                <w:color w:val="auto"/>
                <w:sz w:val="21"/>
                <w:szCs w:val="21"/>
              </w:rPr>
              <w:t>□完整□不完整□没有</w:t>
            </w:r>
          </w:p>
        </w:tc>
      </w:tr>
      <w:tr>
        <w:trPr>
          <w:trHeight w:hRule="exact" w:val="435"/>
        </w:trPr>
        <w:tc>
          <w:tcPr>
            <w:tcW w:w="429" w:type="dxa"/>
            <w:vMerge/>
            <w:vAlign w:val="center"/>
          </w:tcPr>
          <w:p/>
        </w:tc>
        <w:tc>
          <w:tcPr>
            <w:tcW w:w="1399" w:type="dxa"/>
            <w:tcBorders>
              <w:top w:val="single" w:sz="4" w:space="0" w:color="auto"/>
              <w:bottom w:val="single" w:sz="4" w:space="0" w:color="auto"/>
              <w:right w:val="single" w:sz="4" w:space="0" w:color="auto"/>
            </w:tcBorders>
            <w:vAlign w:val="center"/>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维护管理</w:t>
            </w:r>
          </w:p>
        </w:tc>
        <w:tc>
          <w:tcPr>
            <w:tcW w:w="7481" w:type="dxa"/>
            <w:gridSpan w:val="6"/>
            <w:tcBorders>
              <w:top w:val="single" w:sz="4" w:space="0" w:color="auto"/>
              <w:left w:val="single" w:sz="4" w:space="0" w:color="auto"/>
              <w:bottom w:val="single" w:sz="4" w:space="0" w:color="auto"/>
            </w:tcBorders>
            <w:vAlign w:val="center"/>
          </w:tcPr>
          <w:p>
            <w:pPr>
              <w:pStyle w:val="16"/>
              <w:jc w:val="both"/>
              <w:rPr>
                <w:rFonts w:ascii="仿宋_GB2312" w:eastAsia="仿宋_GB2312" w:cs="Times New Roman"/>
                <w:color w:val="auto"/>
                <w:sz w:val="21"/>
                <w:szCs w:val="21"/>
              </w:rPr>
            </w:pPr>
            <w:r>
              <w:rPr>
                <w:rFonts w:ascii="仿宋_GB2312" w:eastAsia="仿宋_GB2312" w:cs="Times New Roman" w:hint="eastAsia"/>
                <w:color w:val="auto"/>
                <w:sz w:val="21"/>
                <w:szCs w:val="21"/>
              </w:rPr>
              <w:t>□完整□不完整□没有</w:t>
            </w:r>
          </w:p>
        </w:tc>
      </w:tr>
      <w:tr>
        <w:trPr>
          <w:trHeight w:hRule="exact" w:val="396"/>
        </w:trPr>
        <w:tc>
          <w:tcPr>
            <w:tcW w:w="429" w:type="dxa"/>
            <w:vMerge/>
            <w:vAlign w:val="center"/>
          </w:tcPr>
          <w:p/>
        </w:tc>
        <w:tc>
          <w:tcPr>
            <w:tcW w:w="1399" w:type="dxa"/>
            <w:tcBorders>
              <w:top w:val="single" w:sz="4" w:space="0" w:color="auto"/>
              <w:right w:val="single" w:sz="4" w:space="0" w:color="auto"/>
            </w:tcBorders>
          </w:tcPr>
          <w:p>
            <w:pPr>
              <w:pStyle w:val="16"/>
              <w:spacing w:line="360" w:lineRule="auto"/>
              <w:jc w:val="center"/>
              <w:rPr>
                <w:rFonts w:ascii="仿宋_GB2312" w:eastAsia="仿宋_GB2312" w:cs="Times New Roman"/>
                <w:color w:val="auto"/>
                <w:sz w:val="21"/>
                <w:szCs w:val="21"/>
              </w:rPr>
            </w:pPr>
            <w:r>
              <w:rPr>
                <w:rFonts w:ascii="仿宋_GB2312" w:eastAsia="仿宋_GB2312" w:cs="Times New Roman" w:hint="eastAsia"/>
                <w:color w:val="auto"/>
                <w:sz w:val="21"/>
                <w:szCs w:val="21"/>
              </w:rPr>
              <w:t>其它资料</w:t>
            </w:r>
          </w:p>
        </w:tc>
        <w:tc>
          <w:tcPr>
            <w:tcW w:w="7481" w:type="dxa"/>
            <w:gridSpan w:val="6"/>
            <w:tcBorders>
              <w:top w:val="single" w:sz="4" w:space="0" w:color="auto"/>
              <w:left w:val="single" w:sz="4" w:space="0" w:color="auto"/>
            </w:tcBorders>
            <w:vAlign w:val="center"/>
          </w:tcPr>
          <w:p>
            <w:pPr>
              <w:pStyle w:val="16"/>
              <w:jc w:val="both"/>
              <w:rPr>
                <w:rFonts w:ascii="仿宋_GB2312" w:eastAsia="仿宋_GB2312" w:cs="Times New Roman"/>
                <w:color w:val="auto"/>
                <w:sz w:val="21"/>
                <w:szCs w:val="21"/>
              </w:rPr>
            </w:pPr>
            <w:r>
              <w:rPr>
                <w:rFonts w:ascii="仿宋_GB2312" w:eastAsia="仿宋_GB2312" w:cs="Times New Roman" w:hint="eastAsia"/>
                <w:color w:val="auto"/>
                <w:sz w:val="21"/>
                <w:szCs w:val="21"/>
              </w:rPr>
              <w:t>□完整□不完整□没有</w:t>
            </w:r>
          </w:p>
        </w:tc>
      </w:tr>
      <w:tr>
        <w:trPr>
          <w:trHeight w:hRule="exact" w:val="425"/>
        </w:trPr>
        <w:tc>
          <w:tcPr>
            <w:tcW w:w="429" w:type="dxa"/>
            <w:vMerge w:val="restart"/>
            <w:vAlign w:val="center"/>
          </w:tcPr>
          <w:p>
            <w:pPr>
              <w:jc w:val="center"/>
              <w:rPr>
                <w:rFonts w:ascii="仿宋_GB2312" w:eastAsia="仿宋_GB2312"/>
                <w:b/>
                <w:bCs/>
                <w:szCs w:val="21"/>
              </w:rPr>
            </w:pPr>
            <w:r>
              <w:rPr>
                <w:rFonts w:ascii="仿宋_GB2312" w:eastAsia="仿宋_GB2312" w:hint="eastAsia"/>
                <w:b/>
                <w:bCs/>
                <w:szCs w:val="21"/>
              </w:rPr>
              <w:t>检查计划</w:t>
            </w:r>
          </w:p>
          <w:p>
            <w:pPr>
              <w:jc w:val="center"/>
              <w:rPr>
                <w:rFonts w:ascii="仿宋_GB2312" w:eastAsia="仿宋_GB2312"/>
                <w:b/>
                <w:bCs/>
                <w:szCs w:val="21"/>
              </w:rPr>
            </w:pPr>
          </w:p>
        </w:tc>
        <w:tc>
          <w:tcPr>
            <w:tcW w:w="4185" w:type="dxa"/>
            <w:gridSpan w:val="4"/>
            <w:tcBorders>
              <w:top w:val="single" w:sz="6" w:space="0" w:color="auto"/>
              <w:left w:val="single" w:sz="6" w:space="0" w:color="auto"/>
              <w:right w:val="single" w:sz="6" w:space="0" w:color="auto"/>
            </w:tcBorders>
            <w:vAlign w:val="center"/>
          </w:tcPr>
          <w:p>
            <w:pPr>
              <w:spacing w:line="360" w:lineRule="auto"/>
              <w:jc w:val="center"/>
              <w:rPr>
                <w:rFonts w:ascii="仿宋_GB2312" w:eastAsia="仿宋_GB2312"/>
                <w:szCs w:val="21"/>
              </w:rPr>
            </w:pPr>
            <w:r>
              <w:rPr>
                <w:rFonts w:ascii="仿宋_GB2312" w:eastAsia="仿宋_GB2312" w:hint="eastAsia"/>
                <w:szCs w:val="21"/>
              </w:rPr>
              <w:t>检查年度安排</w:t>
            </w:r>
          </w:p>
        </w:tc>
        <w:tc>
          <w:tcPr>
            <w:tcW w:w="4695" w:type="dxa"/>
            <w:gridSpan w:val="3"/>
            <w:vAlign w:val="center"/>
          </w:tcPr>
          <w:p>
            <w:pPr>
              <w:spacing w:line="360" w:lineRule="auto"/>
              <w:jc w:val="center"/>
              <w:rPr>
                <w:rFonts w:ascii="仿宋_GB2312" w:eastAsia="仿宋_GB2312"/>
                <w:szCs w:val="21"/>
              </w:rPr>
            </w:pPr>
            <w:r>
              <w:rPr>
                <w:rFonts w:ascii="仿宋_GB2312" w:eastAsia="仿宋_GB2312" w:hint="eastAsia"/>
                <w:szCs w:val="21"/>
              </w:rPr>
              <w:t>检查实施时间</w:t>
            </w:r>
          </w:p>
        </w:tc>
      </w:tr>
      <w:tr>
        <w:trPr>
          <w:trHeight w:hRule="exact" w:val="425"/>
        </w:trPr>
        <w:tc>
          <w:tcPr>
            <w:tcW w:w="429" w:type="dxa"/>
            <w:vMerge/>
            <w:vAlign w:val="center"/>
          </w:tcPr>
          <w:p/>
        </w:tc>
        <w:tc>
          <w:tcPr>
            <w:tcW w:w="4185" w:type="dxa"/>
            <w:gridSpan w:val="4"/>
            <w:tcBorders>
              <w:top w:val="single" w:sz="6" w:space="0" w:color="auto"/>
              <w:left w:val="single" w:sz="6" w:space="0" w:color="auto"/>
              <w:right w:val="single" w:sz="6" w:space="0" w:color="auto"/>
            </w:tcBorders>
            <w:vAlign w:val="center"/>
          </w:tcPr>
          <w:p>
            <w:pPr>
              <w:spacing w:line="360" w:lineRule="auto"/>
              <w:jc w:val="center"/>
              <w:rPr>
                <w:rFonts w:ascii="仿宋_GB2312" w:eastAsia="仿宋_GB2312"/>
                <w:szCs w:val="21"/>
              </w:rPr>
            </w:pPr>
            <w:r>
              <w:rPr>
                <w:rFonts w:ascii="仿宋_GB2312" w:eastAsia="仿宋_GB2312" w:hint="eastAsia"/>
                <w:szCs w:val="21"/>
              </w:rPr>
              <w:t>年月</w:t>
            </w:r>
            <w:r>
              <w:rPr>
                <w:rFonts w:ascii="仿宋_GB2312" w:eastAsia="仿宋_GB2312"/>
                <w:szCs w:val="21"/>
              </w:rPr>
              <w:t xml:space="preserve">---     </w:t>
            </w:r>
            <w:r>
              <w:rPr>
                <w:rFonts w:ascii="仿宋_GB2312" w:eastAsia="仿宋_GB2312" w:hint="eastAsia"/>
                <w:szCs w:val="21"/>
              </w:rPr>
              <w:t>年月</w:t>
            </w:r>
          </w:p>
        </w:tc>
        <w:tc>
          <w:tcPr>
            <w:tcW w:w="4695" w:type="dxa"/>
            <w:gridSpan w:val="3"/>
            <w:vAlign w:val="center"/>
          </w:tcPr>
          <w:p>
            <w:pPr>
              <w:spacing w:line="360" w:lineRule="auto"/>
              <w:jc w:val="center"/>
              <w:rPr>
                <w:rFonts w:ascii="仿宋_GB2312" w:eastAsia="仿宋_GB2312"/>
                <w:szCs w:val="21"/>
              </w:rPr>
            </w:pPr>
            <w:r>
              <w:rPr>
                <w:rFonts w:ascii="仿宋_GB2312" w:eastAsia="仿宋_GB2312" w:hint="eastAsia"/>
                <w:szCs w:val="21"/>
              </w:rPr>
              <w:t>年月日</w:t>
            </w:r>
          </w:p>
        </w:tc>
      </w:tr>
      <w:tr>
        <w:trPr>
          <w:trHeight w:hRule="exact" w:val="425"/>
        </w:trPr>
        <w:tc>
          <w:tcPr>
            <w:tcW w:w="429" w:type="dxa"/>
            <w:vMerge/>
            <w:vAlign w:val="center"/>
          </w:tcPr>
          <w:p/>
        </w:tc>
        <w:tc>
          <w:tcPr>
            <w:tcW w:w="4185" w:type="dxa"/>
            <w:gridSpan w:val="4"/>
            <w:tcBorders>
              <w:top w:val="single" w:sz="6" w:space="0" w:color="auto"/>
              <w:left w:val="single" w:sz="6" w:space="0" w:color="auto"/>
              <w:right w:val="single" w:sz="6" w:space="0" w:color="auto"/>
            </w:tcBorders>
            <w:vAlign w:val="center"/>
          </w:tcPr>
          <w:p>
            <w:pPr>
              <w:spacing w:line="360" w:lineRule="auto"/>
              <w:jc w:val="center"/>
              <w:rPr>
                <w:rFonts w:ascii="仿宋_GB2312" w:eastAsia="仿宋_GB2312"/>
                <w:szCs w:val="21"/>
              </w:rPr>
            </w:pPr>
            <w:r>
              <w:rPr>
                <w:rFonts w:ascii="仿宋_GB2312" w:eastAsia="仿宋_GB2312" w:hint="eastAsia"/>
                <w:szCs w:val="21"/>
              </w:rPr>
              <w:t>年月</w:t>
            </w:r>
            <w:r>
              <w:rPr>
                <w:rFonts w:ascii="仿宋_GB2312" w:eastAsia="仿宋_GB2312"/>
                <w:szCs w:val="21"/>
              </w:rPr>
              <w:t xml:space="preserve">---     </w:t>
            </w:r>
            <w:r>
              <w:rPr>
                <w:rFonts w:ascii="仿宋_GB2312" w:eastAsia="仿宋_GB2312" w:hint="eastAsia"/>
                <w:szCs w:val="21"/>
              </w:rPr>
              <w:t>年月</w:t>
            </w:r>
          </w:p>
        </w:tc>
        <w:tc>
          <w:tcPr>
            <w:tcW w:w="4695" w:type="dxa"/>
            <w:gridSpan w:val="3"/>
            <w:vAlign w:val="center"/>
          </w:tcPr>
          <w:p>
            <w:pPr>
              <w:spacing w:line="360" w:lineRule="auto"/>
              <w:jc w:val="center"/>
              <w:rPr>
                <w:rFonts w:ascii="仿宋_GB2312" w:eastAsia="仿宋_GB2312"/>
                <w:szCs w:val="21"/>
              </w:rPr>
            </w:pPr>
            <w:r>
              <w:rPr>
                <w:rFonts w:ascii="仿宋_GB2312" w:eastAsia="仿宋_GB2312" w:hint="eastAsia"/>
                <w:szCs w:val="21"/>
              </w:rPr>
              <w:t>年月日</w:t>
            </w:r>
          </w:p>
        </w:tc>
      </w:tr>
      <w:tr>
        <w:trPr>
          <w:trHeight w:hRule="exact" w:val="425"/>
        </w:trPr>
        <w:tc>
          <w:tcPr>
            <w:tcW w:w="429" w:type="dxa"/>
            <w:vMerge w:val="restart"/>
            <w:tcBorders>
              <w:left w:val="single" w:sz="6" w:space="0" w:color="auto"/>
            </w:tcBorders>
            <w:vAlign w:val="center"/>
          </w:tcPr>
          <w:p>
            <w:pPr>
              <w:tabs>
                <w:tab w:val="left" w:pos="-360"/>
              </w:tabs>
              <w:ind w:leftChars="1" w:left="1421" w:hangingChars="676" w:hanging="1419"/>
              <w:jc w:val="center"/>
              <w:rPr>
                <w:rFonts w:ascii="仿宋_GB2312" w:eastAsia="仿宋_GB2312"/>
                <w:b/>
                <w:bCs/>
                <w:szCs w:val="21"/>
              </w:rPr>
            </w:pPr>
            <w:r>
              <w:rPr>
                <w:rFonts w:ascii="仿宋_GB2312" w:eastAsia="仿宋_GB2312" w:hint="eastAsia"/>
                <w:b/>
                <w:bCs/>
                <w:szCs w:val="21"/>
              </w:rPr>
              <w:t>使</w:t>
            </w:r>
          </w:p>
          <w:p>
            <w:pPr>
              <w:tabs>
                <w:tab w:val="left" w:pos="-360"/>
              </w:tabs>
              <w:ind w:leftChars="1" w:left="1421" w:hangingChars="676" w:hanging="1419"/>
              <w:jc w:val="center"/>
              <w:rPr>
                <w:rFonts w:ascii="仿宋_GB2312" w:eastAsia="仿宋_GB2312"/>
                <w:b/>
                <w:bCs/>
                <w:szCs w:val="21"/>
              </w:rPr>
            </w:pPr>
            <w:r>
              <w:rPr>
                <w:rFonts w:ascii="仿宋_GB2312" w:eastAsia="仿宋_GB2312" w:hint="eastAsia"/>
                <w:b/>
                <w:bCs/>
                <w:szCs w:val="21"/>
              </w:rPr>
              <w:t>用</w:t>
            </w:r>
          </w:p>
          <w:p>
            <w:pPr>
              <w:tabs>
                <w:tab w:val="left" w:pos="-360"/>
              </w:tabs>
              <w:ind w:leftChars="1" w:left="1421" w:hangingChars="676" w:hanging="1419"/>
              <w:jc w:val="center"/>
              <w:rPr>
                <w:rFonts w:ascii="仿宋_GB2312" w:eastAsia="仿宋_GB2312"/>
                <w:b/>
                <w:bCs/>
                <w:szCs w:val="21"/>
              </w:rPr>
            </w:pPr>
            <w:r>
              <w:rPr>
                <w:rFonts w:ascii="仿宋_GB2312" w:eastAsia="仿宋_GB2312" w:hint="eastAsia"/>
                <w:b/>
                <w:bCs/>
                <w:szCs w:val="21"/>
              </w:rPr>
              <w:t>维</w:t>
            </w:r>
          </w:p>
          <w:p>
            <w:pPr>
              <w:tabs>
                <w:tab w:val="left" w:pos="-360"/>
              </w:tabs>
              <w:ind w:leftChars="1" w:left="1421" w:hangingChars="676" w:hanging="1419"/>
              <w:jc w:val="center"/>
              <w:rPr>
                <w:rFonts w:ascii="仿宋_GB2312" w:eastAsia="仿宋_GB2312"/>
                <w:b/>
                <w:bCs/>
                <w:szCs w:val="21"/>
              </w:rPr>
            </w:pPr>
            <w:r>
              <w:rPr>
                <w:rFonts w:ascii="仿宋_GB2312" w:eastAsia="仿宋_GB2312" w:hint="eastAsia"/>
                <w:b/>
                <w:bCs/>
                <w:szCs w:val="21"/>
              </w:rPr>
              <w:t>护</w:t>
            </w:r>
          </w:p>
          <w:p>
            <w:pPr>
              <w:tabs>
                <w:tab w:val="left" w:pos="-360"/>
              </w:tabs>
              <w:ind w:leftChars="1" w:left="1421" w:hangingChars="676" w:hanging="1419"/>
              <w:jc w:val="center"/>
              <w:rPr>
                <w:rFonts w:ascii="仿宋_GB2312" w:eastAsia="仿宋_GB2312"/>
                <w:b/>
                <w:bCs/>
                <w:szCs w:val="21"/>
              </w:rPr>
            </w:pPr>
            <w:r>
              <w:rPr>
                <w:rFonts w:ascii="仿宋_GB2312" w:eastAsia="仿宋_GB2312" w:hint="eastAsia"/>
                <w:b/>
                <w:bCs/>
                <w:szCs w:val="21"/>
              </w:rPr>
              <w:t>情</w:t>
            </w:r>
          </w:p>
          <w:p>
            <w:pPr>
              <w:tabs>
                <w:tab w:val="left" w:pos="-360"/>
              </w:tabs>
              <w:ind w:leftChars="1" w:left="1421" w:hangingChars="676" w:hanging="1419"/>
              <w:jc w:val="center"/>
              <w:rPr>
                <w:rFonts w:ascii="仿宋_GB2312" w:eastAsia="仿宋_GB2312"/>
                <w:b/>
                <w:bCs/>
                <w:szCs w:val="21"/>
              </w:rPr>
            </w:pPr>
            <w:r>
              <w:rPr>
                <w:rFonts w:ascii="仿宋_GB2312" w:eastAsia="仿宋_GB2312" w:hint="eastAsia"/>
                <w:b/>
                <w:bCs/>
                <w:szCs w:val="21"/>
              </w:rPr>
              <w:t>况</w:t>
            </w:r>
          </w:p>
        </w:tc>
        <w:tc>
          <w:tcPr>
            <w:tcW w:w="1938" w:type="dxa"/>
            <w:gridSpan w:val="2"/>
            <w:tcBorders>
              <w:top w:val="single" w:sz="6" w:space="0" w:color="auto"/>
              <w:left w:val="single" w:sz="6" w:space="0" w:color="auto"/>
              <w:right w:val="single" w:sz="6" w:space="0" w:color="auto"/>
            </w:tcBorders>
            <w:vAlign w:val="center"/>
          </w:tcPr>
          <w:p>
            <w:pPr>
              <w:tabs>
                <w:tab w:val="left" w:pos="-360"/>
              </w:tabs>
              <w:spacing w:line="360" w:lineRule="auto"/>
              <w:ind w:leftChars="1" w:left="1421" w:hangingChars="676" w:hanging="1419"/>
              <w:jc w:val="center"/>
              <w:rPr>
                <w:rFonts w:ascii="仿宋_GB2312" w:eastAsia="仿宋_GB2312"/>
                <w:szCs w:val="21"/>
              </w:rPr>
            </w:pPr>
            <w:r>
              <w:rPr>
                <w:rFonts w:ascii="仿宋_GB2312" w:eastAsia="仿宋_GB2312" w:hint="eastAsia"/>
                <w:szCs w:val="21"/>
              </w:rPr>
              <w:t>保养维护单位</w:t>
            </w:r>
          </w:p>
        </w:tc>
        <w:tc>
          <w:tcPr>
            <w:tcW w:w="6942" w:type="dxa"/>
            <w:gridSpan w:val="5"/>
            <w:tcBorders>
              <w:right w:val="single" w:sz="6" w:space="0" w:color="auto"/>
            </w:tcBorders>
            <w:vAlign w:val="center"/>
          </w:tcPr>
          <w:p>
            <w:pPr>
              <w:tabs>
                <w:tab w:val="left" w:pos="-360"/>
              </w:tabs>
              <w:spacing w:line="360" w:lineRule="auto"/>
              <w:ind w:leftChars="1" w:left="1421" w:hangingChars="676" w:hanging="1419"/>
              <w:rPr>
                <w:rFonts w:ascii="仿宋_GB2312" w:eastAsia="仿宋_GB2312"/>
                <w:szCs w:val="21"/>
              </w:rPr>
            </w:pPr>
            <w:r>
              <w:rPr>
                <w:rFonts w:ascii="仿宋_GB2312" w:eastAsia="仿宋_GB2312" w:hint="eastAsia"/>
                <w:szCs w:val="21"/>
              </w:rPr>
              <w:t>□无固定签约单位□签约单位：</w:t>
            </w:r>
          </w:p>
        </w:tc>
      </w:tr>
      <w:tr>
        <w:trPr>
          <w:trHeight w:hRule="exact" w:val="425"/>
        </w:trPr>
        <w:tc>
          <w:tcPr>
            <w:tcW w:w="429" w:type="dxa"/>
            <w:vMerge/>
            <w:tcBorders>
              <w:left w:val="single" w:sz="6" w:space="0" w:color="auto"/>
            </w:tcBorders>
            <w:vAlign w:val="center"/>
          </w:tcPr>
          <w:p/>
        </w:tc>
        <w:tc>
          <w:tcPr>
            <w:tcW w:w="1938" w:type="dxa"/>
            <w:gridSpan w:val="2"/>
            <w:tcBorders>
              <w:top w:val="single" w:sz="6" w:space="0" w:color="auto"/>
              <w:left w:val="single" w:sz="6" w:space="0" w:color="auto"/>
              <w:right w:val="single" w:sz="6" w:space="0" w:color="auto"/>
            </w:tcBorders>
            <w:vAlign w:val="center"/>
          </w:tcPr>
          <w:p>
            <w:pPr>
              <w:tabs>
                <w:tab w:val="left" w:pos="-360"/>
              </w:tabs>
              <w:spacing w:line="360" w:lineRule="auto"/>
              <w:ind w:leftChars="1" w:left="1421" w:hangingChars="676" w:hanging="1419"/>
              <w:jc w:val="center"/>
              <w:rPr>
                <w:rFonts w:ascii="仿宋_GB2312" w:eastAsia="仿宋_GB2312"/>
                <w:szCs w:val="21"/>
              </w:rPr>
            </w:pPr>
            <w:r>
              <w:rPr>
                <w:rFonts w:ascii="仿宋_GB2312" w:eastAsia="仿宋_GB2312" w:hint="eastAsia"/>
                <w:szCs w:val="21"/>
              </w:rPr>
              <w:t>专业检查周期</w:t>
            </w:r>
          </w:p>
        </w:tc>
        <w:tc>
          <w:tcPr>
            <w:tcW w:w="6942" w:type="dxa"/>
            <w:gridSpan w:val="5"/>
            <w:tcBorders>
              <w:right w:val="single" w:sz="6" w:space="0" w:color="auto"/>
            </w:tcBorders>
            <w:vAlign w:val="center"/>
          </w:tcPr>
          <w:p>
            <w:pPr>
              <w:spacing w:line="360" w:lineRule="auto"/>
              <w:rPr>
                <w:rFonts w:ascii="仿宋_GB2312" w:eastAsia="仿宋_GB2312"/>
                <w:szCs w:val="21"/>
              </w:rPr>
            </w:pPr>
            <w:r>
              <w:rPr>
                <w:rFonts w:ascii="仿宋_GB2312" w:eastAsia="仿宋_GB2312" w:hint="eastAsia"/>
                <w:szCs w:val="21"/>
              </w:rPr>
              <w:t>□未到期□已到期未检查□已委托检查</w:t>
            </w:r>
          </w:p>
        </w:tc>
      </w:tr>
      <w:tr>
        <w:trPr>
          <w:trHeight w:hRule="exact" w:val="425"/>
        </w:trPr>
        <w:tc>
          <w:tcPr>
            <w:tcW w:w="429" w:type="dxa"/>
            <w:vMerge/>
            <w:tcBorders>
              <w:left w:val="single" w:sz="6" w:space="0" w:color="auto"/>
            </w:tcBorders>
            <w:vAlign w:val="center"/>
          </w:tcPr>
          <w:p/>
        </w:tc>
        <w:tc>
          <w:tcPr>
            <w:tcW w:w="1938" w:type="dxa"/>
            <w:gridSpan w:val="2"/>
            <w:tcBorders>
              <w:top w:val="single" w:sz="6" w:space="0" w:color="auto"/>
              <w:left w:val="single" w:sz="6" w:space="0" w:color="auto"/>
              <w:right w:val="single" w:sz="6" w:space="0" w:color="auto"/>
            </w:tcBorders>
            <w:vAlign w:val="center"/>
          </w:tcPr>
          <w:p>
            <w:pPr>
              <w:tabs>
                <w:tab w:val="left" w:pos="-360"/>
              </w:tabs>
              <w:spacing w:line="360" w:lineRule="auto"/>
              <w:ind w:leftChars="1" w:left="1421" w:hangingChars="676" w:hanging="1419"/>
              <w:jc w:val="center"/>
              <w:rPr>
                <w:rFonts w:ascii="仿宋_GB2312" w:eastAsia="仿宋_GB2312"/>
                <w:szCs w:val="21"/>
              </w:rPr>
            </w:pPr>
            <w:r>
              <w:rPr>
                <w:rFonts w:ascii="仿宋_GB2312" w:eastAsia="仿宋_GB2312" w:hint="eastAsia"/>
                <w:szCs w:val="21"/>
              </w:rPr>
              <w:t>本年度安全事故</w:t>
            </w:r>
          </w:p>
        </w:tc>
        <w:tc>
          <w:tcPr>
            <w:tcW w:w="6942" w:type="dxa"/>
            <w:gridSpan w:val="5"/>
            <w:tcBorders>
              <w:right w:val="single" w:sz="6" w:space="0" w:color="auto"/>
            </w:tcBorders>
            <w:vAlign w:val="center"/>
          </w:tcPr>
          <w:p>
            <w:pPr>
              <w:tabs>
                <w:tab w:val="left" w:pos="-360"/>
              </w:tabs>
              <w:spacing w:line="360" w:lineRule="auto"/>
              <w:ind w:leftChars="1" w:left="1421" w:hangingChars="676" w:hanging="1419"/>
              <w:rPr>
                <w:rFonts w:ascii="仿宋_GB2312" w:eastAsia="仿宋_GB2312"/>
                <w:szCs w:val="21"/>
              </w:rPr>
            </w:pPr>
            <w:r>
              <w:rPr>
                <w:rFonts w:ascii="仿宋_GB2312" w:eastAsia="仿宋_GB2312" w:hint="eastAsia"/>
                <w:szCs w:val="21"/>
              </w:rPr>
              <w:t>□无事故□有，内容：</w:t>
            </w:r>
          </w:p>
        </w:tc>
      </w:tr>
      <w:tr>
        <w:trPr>
          <w:trHeight w:hRule="exact" w:val="425"/>
        </w:trPr>
        <w:tc>
          <w:tcPr>
            <w:tcW w:w="429" w:type="dxa"/>
            <w:vMerge/>
            <w:tcBorders>
              <w:left w:val="single" w:sz="6" w:space="0" w:color="auto"/>
            </w:tcBorders>
            <w:vAlign w:val="center"/>
          </w:tcPr>
          <w:p/>
        </w:tc>
        <w:tc>
          <w:tcPr>
            <w:tcW w:w="1938" w:type="dxa"/>
            <w:gridSpan w:val="2"/>
            <w:tcBorders>
              <w:top w:val="single" w:sz="6" w:space="0" w:color="auto"/>
              <w:left w:val="single" w:sz="6" w:space="0" w:color="auto"/>
              <w:right w:val="single" w:sz="6" w:space="0" w:color="auto"/>
            </w:tcBorders>
            <w:vAlign w:val="center"/>
          </w:tcPr>
          <w:p>
            <w:pPr>
              <w:tabs>
                <w:tab w:val="left" w:pos="-360"/>
              </w:tabs>
              <w:spacing w:line="360" w:lineRule="auto"/>
              <w:ind w:leftChars="1" w:left="1421" w:hangingChars="676" w:hanging="1419"/>
              <w:jc w:val="center"/>
              <w:rPr>
                <w:rFonts w:ascii="仿宋_GB2312" w:eastAsia="仿宋_GB2312"/>
                <w:szCs w:val="21"/>
              </w:rPr>
            </w:pPr>
            <w:r>
              <w:rPr>
                <w:rFonts w:ascii="仿宋_GB2312" w:eastAsia="仿宋_GB2312" w:hint="eastAsia"/>
                <w:szCs w:val="21"/>
              </w:rPr>
              <w:t>本年度灾后检查</w:t>
            </w:r>
          </w:p>
        </w:tc>
        <w:tc>
          <w:tcPr>
            <w:tcW w:w="6942" w:type="dxa"/>
            <w:gridSpan w:val="5"/>
            <w:tcBorders>
              <w:right w:val="single" w:sz="6" w:space="0" w:color="auto"/>
            </w:tcBorders>
            <w:vAlign w:val="center"/>
          </w:tcPr>
          <w:p>
            <w:pPr>
              <w:tabs>
                <w:tab w:val="left" w:pos="-360"/>
              </w:tabs>
              <w:spacing w:line="360" w:lineRule="auto"/>
              <w:ind w:leftChars="1" w:left="1421" w:hangingChars="676" w:hanging="1419"/>
              <w:rPr>
                <w:rFonts w:ascii="仿宋_GB2312" w:eastAsia="仿宋_GB2312"/>
                <w:szCs w:val="21"/>
              </w:rPr>
            </w:pPr>
            <w:r>
              <w:rPr>
                <w:rFonts w:ascii="仿宋_GB2312" w:eastAsia="仿宋_GB2312" w:hint="eastAsia"/>
                <w:szCs w:val="21"/>
              </w:rPr>
              <w:t>□无灾害□已检查无隐患□已检查隐患已整改□已检查待整改</w:t>
            </w:r>
          </w:p>
        </w:tc>
      </w:tr>
      <w:tr>
        <w:trPr>
          <w:trHeight w:hRule="exact" w:val="425"/>
        </w:trPr>
        <w:tc>
          <w:tcPr>
            <w:tcW w:w="429" w:type="dxa"/>
            <w:vMerge/>
            <w:tcBorders>
              <w:left w:val="single" w:sz="6" w:space="0" w:color="auto"/>
            </w:tcBorders>
            <w:vAlign w:val="center"/>
          </w:tcPr>
          <w:p/>
        </w:tc>
        <w:tc>
          <w:tcPr>
            <w:tcW w:w="1938" w:type="dxa"/>
            <w:gridSpan w:val="2"/>
            <w:tcBorders>
              <w:top w:val="single" w:sz="6" w:space="0" w:color="auto"/>
              <w:left w:val="single" w:sz="6" w:space="0" w:color="auto"/>
              <w:right w:val="single" w:sz="6" w:space="0" w:color="auto"/>
            </w:tcBorders>
            <w:vAlign w:val="center"/>
          </w:tcPr>
          <w:p>
            <w:pPr>
              <w:tabs>
                <w:tab w:val="left" w:pos="-360"/>
              </w:tabs>
              <w:spacing w:line="360" w:lineRule="auto"/>
              <w:ind w:leftChars="1" w:left="1421" w:hangingChars="676" w:hanging="1419"/>
              <w:jc w:val="center"/>
              <w:rPr>
                <w:rFonts w:ascii="仿宋_GB2312" w:eastAsia="仿宋_GB2312"/>
                <w:szCs w:val="21"/>
              </w:rPr>
            </w:pPr>
            <w:r>
              <w:rPr>
                <w:rFonts w:ascii="仿宋_GB2312" w:eastAsia="仿宋_GB2312" w:hint="eastAsia"/>
                <w:szCs w:val="21"/>
              </w:rPr>
              <w:t>本年度维护费用</w:t>
            </w:r>
          </w:p>
        </w:tc>
        <w:tc>
          <w:tcPr>
            <w:tcW w:w="6942" w:type="dxa"/>
            <w:gridSpan w:val="5"/>
            <w:tcBorders>
              <w:right w:val="single" w:sz="6" w:space="0" w:color="auto"/>
            </w:tcBorders>
            <w:vAlign w:val="center"/>
          </w:tcPr>
          <w:p>
            <w:pPr>
              <w:tabs>
                <w:tab w:val="left" w:pos="-360"/>
              </w:tabs>
              <w:spacing w:line="360" w:lineRule="auto"/>
              <w:ind w:leftChars="1" w:left="1421" w:hangingChars="676" w:hanging="1419"/>
              <w:rPr>
                <w:rFonts w:ascii="仿宋_GB2312" w:eastAsia="仿宋_GB2312"/>
                <w:szCs w:val="21"/>
              </w:rPr>
            </w:pPr>
            <w:r>
              <w:rPr>
                <w:rFonts w:ascii="仿宋_GB2312" w:eastAsia="仿宋_GB2312" w:hint="eastAsia"/>
                <w:szCs w:val="21"/>
              </w:rPr>
              <w:t>□≤</w:t>
            </w:r>
            <w:r>
              <w:rPr>
                <w:rFonts w:ascii="仿宋_GB2312" w:eastAsia="仿宋_GB2312"/>
                <w:szCs w:val="21"/>
              </w:rPr>
              <w:t>5</w:t>
            </w:r>
            <w:r>
              <w:rPr>
                <w:rFonts w:ascii="仿宋_GB2312" w:eastAsia="仿宋_GB2312" w:hint="eastAsia"/>
                <w:szCs w:val="21"/>
              </w:rPr>
              <w:t>万元□≤</w:t>
            </w:r>
            <w:r>
              <w:rPr>
                <w:rFonts w:ascii="仿宋_GB2312" w:eastAsia="仿宋_GB2312"/>
                <w:szCs w:val="21"/>
              </w:rPr>
              <w:t>10</w:t>
            </w:r>
            <w:r>
              <w:rPr>
                <w:rFonts w:ascii="仿宋_GB2312" w:eastAsia="仿宋_GB2312" w:hint="eastAsia"/>
                <w:szCs w:val="21"/>
              </w:rPr>
              <w:t>万元□≤</w:t>
            </w:r>
            <w:r>
              <w:rPr>
                <w:rFonts w:ascii="仿宋_GB2312" w:eastAsia="仿宋_GB2312"/>
                <w:szCs w:val="21"/>
              </w:rPr>
              <w:t>50</w:t>
            </w:r>
            <w:r>
              <w:rPr>
                <w:rFonts w:ascii="仿宋_GB2312" w:eastAsia="仿宋_GB2312" w:hint="eastAsia"/>
                <w:szCs w:val="21"/>
              </w:rPr>
              <w:t>万元□≤</w:t>
            </w:r>
            <w:r>
              <w:rPr>
                <w:rFonts w:ascii="仿宋_GB2312" w:eastAsia="仿宋_GB2312"/>
                <w:szCs w:val="21"/>
              </w:rPr>
              <w:t>100</w:t>
            </w:r>
            <w:r>
              <w:rPr>
                <w:rFonts w:ascii="仿宋_GB2312" w:eastAsia="仿宋_GB2312" w:hint="eastAsia"/>
                <w:szCs w:val="21"/>
              </w:rPr>
              <w:t>万元□＞</w:t>
            </w:r>
            <w:r>
              <w:rPr>
                <w:rFonts w:ascii="仿宋_GB2312" w:eastAsia="仿宋_GB2312"/>
                <w:szCs w:val="21"/>
              </w:rPr>
              <w:t>100</w:t>
            </w:r>
            <w:r>
              <w:rPr>
                <w:rFonts w:ascii="仿宋_GB2312" w:eastAsia="仿宋_GB2312" w:hint="eastAsia"/>
                <w:szCs w:val="21"/>
              </w:rPr>
              <w:t>万元</w:t>
            </w:r>
          </w:p>
        </w:tc>
      </w:tr>
      <w:tr>
        <w:trPr>
          <w:trHeight w:hRule="exact" w:val="432"/>
        </w:trPr>
        <w:tc>
          <w:tcPr>
            <w:tcW w:w="429" w:type="dxa"/>
            <w:vMerge/>
            <w:tcBorders>
              <w:left w:val="single" w:sz="6" w:space="0" w:color="auto"/>
            </w:tcBorders>
            <w:vAlign w:val="center"/>
          </w:tcPr>
          <w:p/>
        </w:tc>
        <w:tc>
          <w:tcPr>
            <w:tcW w:w="1938" w:type="dxa"/>
            <w:gridSpan w:val="2"/>
            <w:tcBorders>
              <w:top w:val="single" w:sz="6" w:space="0" w:color="auto"/>
              <w:left w:val="single" w:sz="6" w:space="0" w:color="auto"/>
              <w:right w:val="single" w:sz="6" w:space="0" w:color="auto"/>
            </w:tcBorders>
            <w:vAlign w:val="center"/>
          </w:tcPr>
          <w:p>
            <w:pPr>
              <w:tabs>
                <w:tab w:val="left" w:pos="-360"/>
              </w:tabs>
              <w:spacing w:line="360" w:lineRule="auto"/>
              <w:ind w:leftChars="1" w:left="1421" w:hangingChars="676" w:hanging="1419"/>
              <w:jc w:val="center"/>
              <w:rPr>
                <w:rFonts w:ascii="仿宋_GB2312" w:eastAsia="仿宋_GB2312"/>
                <w:szCs w:val="21"/>
              </w:rPr>
            </w:pPr>
            <w:r>
              <w:rPr>
                <w:rFonts w:ascii="仿宋_GB2312" w:eastAsia="仿宋_GB2312" w:hint="eastAsia"/>
                <w:szCs w:val="21"/>
              </w:rPr>
              <w:t>本年度改造、扩建</w:t>
            </w:r>
          </w:p>
        </w:tc>
        <w:tc>
          <w:tcPr>
            <w:tcW w:w="6942" w:type="dxa"/>
            <w:gridSpan w:val="5"/>
            <w:tcBorders>
              <w:right w:val="single" w:sz="6" w:space="0" w:color="auto"/>
            </w:tcBorders>
            <w:vAlign w:val="center"/>
          </w:tcPr>
          <w:p>
            <w:pPr>
              <w:spacing w:line="360" w:lineRule="auto"/>
              <w:jc w:val="left"/>
              <w:rPr>
                <w:rFonts w:ascii="仿宋_GB2312" w:eastAsia="仿宋_GB2312"/>
                <w:szCs w:val="21"/>
              </w:rPr>
            </w:pPr>
            <w:r>
              <w:rPr>
                <w:rFonts w:ascii="仿宋_GB2312" w:eastAsia="仿宋_GB2312" w:hint="eastAsia"/>
                <w:szCs w:val="21"/>
              </w:rPr>
              <w:t>□无□有，内容：</w:t>
            </w:r>
          </w:p>
        </w:tc>
      </w:tr>
      <w:tr>
        <w:trPr>
          <w:trHeight w:hRule="exact" w:val="468"/>
        </w:trPr>
        <w:tc>
          <w:tcPr>
            <w:tcW w:w="429" w:type="dxa"/>
            <w:vMerge/>
            <w:tcBorders>
              <w:left w:val="single" w:sz="6" w:space="0" w:color="auto"/>
            </w:tcBorders>
            <w:vAlign w:val="center"/>
          </w:tcPr>
          <w:p/>
        </w:tc>
        <w:tc>
          <w:tcPr>
            <w:tcW w:w="1938" w:type="dxa"/>
            <w:gridSpan w:val="2"/>
            <w:tcBorders>
              <w:top w:val="single" w:sz="6" w:space="0" w:color="auto"/>
              <w:left w:val="single" w:sz="6" w:space="0" w:color="auto"/>
              <w:right w:val="single" w:sz="6" w:space="0" w:color="auto"/>
            </w:tcBorders>
            <w:vAlign w:val="center"/>
          </w:tcPr>
          <w:p>
            <w:pPr>
              <w:tabs>
                <w:tab w:val="left" w:pos="-360"/>
              </w:tabs>
              <w:spacing w:line="360" w:lineRule="auto"/>
              <w:ind w:leftChars="1" w:left="1421" w:hangingChars="676" w:hanging="1419"/>
              <w:jc w:val="center"/>
              <w:rPr>
                <w:rFonts w:ascii="仿宋_GB2312" w:eastAsia="仿宋_GB2312"/>
                <w:szCs w:val="21"/>
              </w:rPr>
            </w:pPr>
            <w:r>
              <w:rPr>
                <w:rFonts w:ascii="仿宋_GB2312" w:eastAsia="仿宋_GB2312" w:hint="eastAsia"/>
                <w:szCs w:val="21"/>
              </w:rPr>
              <w:t>其它</w:t>
            </w:r>
          </w:p>
        </w:tc>
        <w:tc>
          <w:tcPr>
            <w:tcW w:w="6942" w:type="dxa"/>
            <w:gridSpan w:val="5"/>
            <w:tcBorders>
              <w:right w:val="single" w:sz="6" w:space="0" w:color="auto"/>
            </w:tcBorders>
            <w:vAlign w:val="center"/>
          </w:tcPr>
          <w:p>
            <w:pPr>
              <w:spacing w:line="360" w:lineRule="auto"/>
              <w:jc w:val="left"/>
              <w:rPr>
                <w:rFonts w:ascii="仿宋_GB2312" w:eastAsia="仿宋_GB2312"/>
                <w:szCs w:val="21"/>
              </w:rPr>
            </w:pPr>
          </w:p>
        </w:tc>
      </w:tr>
    </w:tbl>
    <w:p>
      <w:pPr>
        <w:spacing w:line="200" w:lineRule="exact"/>
        <w:rPr>
          <w:rFonts w:ascii="宋体" w:cs="宋体" w:hAnsi="宋体"/>
          <w:sz w:val="18"/>
          <w:szCs w:val="18"/>
        </w:rPr>
      </w:pPr>
      <w:r>
        <w:rPr>
          <w:rFonts w:ascii="宋体" w:cs="宋体" w:hAnsi="宋体" w:hint="eastAsia"/>
          <w:sz w:val="18"/>
          <w:szCs w:val="18"/>
        </w:rPr>
        <w:t>注：本表由建筑幕墙安全维护责任人（或受委托单位）向所在辖区房产行政主管部门填报，首次填报须在竣工验收后</w:t>
      </w:r>
      <w:r>
        <w:rPr>
          <w:rFonts w:ascii="宋体" w:cs="宋体" w:hAnsi="宋体"/>
          <w:sz w:val="18"/>
          <w:szCs w:val="18"/>
        </w:rPr>
        <w:t>3</w:t>
      </w:r>
      <w:r>
        <w:rPr>
          <w:rFonts w:ascii="宋体" w:cs="宋体" w:hAnsi="宋体" w:hint="eastAsia"/>
          <w:sz w:val="18"/>
          <w:szCs w:val="18"/>
        </w:rPr>
        <w:t>个月内，此后每年</w:t>
      </w:r>
      <w:r>
        <w:rPr>
          <w:rFonts w:ascii="宋体" w:cs="宋体" w:hAnsi="宋体"/>
          <w:sz w:val="18"/>
          <w:szCs w:val="18"/>
        </w:rPr>
        <w:t>12</w:t>
      </w:r>
      <w:r>
        <w:rPr>
          <w:rFonts w:ascii="宋体" w:cs="宋体" w:hAnsi="宋体" w:hint="eastAsia"/>
          <w:sz w:val="18"/>
          <w:szCs w:val="18"/>
        </w:rPr>
        <w:t>月填报当年情况。填报年度内有定期检查、灾后检查、安全事故、改扩建的，应提交相关报告复印件，并经建筑幕墙安全维护责任人（或受委托单位）签章。</w:t>
      </w:r>
    </w:p>
    <w:p>
      <w:pPr>
        <w:rPr>
          <w:rFonts w:ascii="黑体" w:eastAsia="黑体" w:hAnsi="黑体"/>
          <w:b/>
          <w:sz w:val="32"/>
          <w:szCs w:val="32"/>
        </w:rPr>
      </w:pPr>
      <w:r>
        <w:rPr>
          <w:rFonts w:ascii="宋体" w:cs="宋体" w:hAnsi="宋体"/>
          <w:sz w:val="18"/>
          <w:szCs w:val="18"/>
        </w:rPr>
        <w:br w:type="page"/>
      </w:r>
      <w:r>
        <w:rPr>
          <w:rFonts w:ascii="黑体" w:eastAsia="黑体" w:cs="宋体" w:hAnsi="黑体" w:hint="eastAsia"/>
          <w:b/>
          <w:bCs/>
          <w:sz w:val="32"/>
          <w:szCs w:val="32"/>
        </w:rPr>
        <w:t>附件</w:t>
      </w:r>
      <w:r>
        <w:rPr>
          <w:rFonts w:ascii="黑体" w:eastAsia="黑体" w:cs="宋体" w:hAnsi="黑体"/>
          <w:b/>
          <w:bCs/>
          <w:sz w:val="32"/>
          <w:szCs w:val="32"/>
        </w:rPr>
        <w:t>5</w:t>
      </w:r>
      <w:r>
        <w:rPr>
          <w:rFonts w:ascii="黑体" w:eastAsia="黑体" w:hAnsi="黑体" w:hint="eastAsia"/>
          <w:b/>
          <w:sz w:val="32"/>
          <w:szCs w:val="32"/>
        </w:rPr>
        <w:t>整改通知书</w:t>
      </w:r>
    </w:p>
    <w:p>
      <w:pPr>
        <w:ind w:firstLineChars="1450" w:firstLine="3045"/>
        <w:rPr>
          <w:rFonts w:ascii="仿宋_GB2312" w:eastAsia="仿宋_GB2312"/>
        </w:rPr>
      </w:pPr>
      <w:r>
        <w:rPr>
          <w:rFonts w:ascii="仿宋_GB2312" w:eastAsia="仿宋_GB2312" w:hint="eastAsia"/>
        </w:rPr>
        <w:t>（区）房管整字[20**]****号</w:t>
      </w:r>
    </w:p>
    <w:p>
      <w:pPr>
        <w:spacing w:line="520" w:lineRule="exact"/>
        <w:ind w:firstLineChars="50" w:firstLine="140"/>
        <w:rPr>
          <w:rFonts w:ascii="仿宋_GB2312" w:eastAsia="仿宋_GB2312" w:hAnsi="宋体"/>
          <w:b/>
          <w:sz w:val="28"/>
          <w:u w:val="single"/>
        </w:rPr>
      </w:pPr>
    </w:p>
    <w:p>
      <w:pPr>
        <w:spacing w:line="520" w:lineRule="exact"/>
        <w:ind w:leftChars="67" w:left="141" w:firstLineChars="200" w:firstLine="560"/>
        <w:rPr>
          <w:rFonts w:ascii="仿宋_GB2312" w:eastAsia="仿宋_GB2312" w:hAnsi="宋体"/>
          <w:sz w:val="28"/>
        </w:rPr>
      </w:pPr>
      <w:r>
        <w:rPr>
          <w:rFonts w:ascii="仿宋_GB2312" w:eastAsia="仿宋_GB2312" w:hAnsi="宋体" w:hint="eastAsia"/>
          <w:sz w:val="28"/>
        </w:rPr>
        <w:t>经检查，你（单位）位于区</w:t>
      </w:r>
      <w:r>
        <w:rPr>
          <w:rFonts w:ascii="仿宋_GB2312" w:eastAsia="仿宋_GB2312" w:hAnsi="宋体" w:hint="eastAsia"/>
          <w:sz w:val="28"/>
          <w:u w:val="single"/>
        </w:rPr>
        <w:t>路号</w:t>
      </w:r>
      <w:r>
        <w:rPr>
          <w:rFonts w:ascii="仿宋_GB2312" w:eastAsia="仿宋_GB2312" w:hAnsi="宋体" w:hint="eastAsia"/>
          <w:sz w:val="28"/>
        </w:rPr>
        <w:t>的建筑幕墙存在以下问题：</w:t>
      </w:r>
    </w:p>
    <w:p>
      <w:pPr>
        <w:spacing w:line="520" w:lineRule="exact"/>
        <w:ind w:leftChars="67" w:left="141" w:firstLineChars="200" w:firstLine="420"/>
        <w:rPr>
          <w:rFonts w:ascii="仿宋_GB2312" w:eastAsia="仿宋_GB2312" w:hAnsi="宋体"/>
          <w:sz w:val="28"/>
        </w:rPr>
      </w:pPr>
      <w:r>
        <w:rPr>
          <w:rFonts w:hint="eastAsia"/>
        </w:rPr>
        <w:t>□</w:t>
      </w:r>
      <w:r>
        <w:rPr>
          <w:rFonts w:ascii="仿宋_GB2312" w:eastAsia="仿宋_GB2312" w:hAnsi="宋体" w:hint="eastAsia"/>
          <w:sz w:val="28"/>
        </w:rPr>
        <w:t>面板、连接构件或者局部墙面等出现异常变形、脱落、爆裂现象的；</w:t>
      </w:r>
    </w:p>
    <w:p>
      <w:pPr>
        <w:spacing w:line="520" w:lineRule="exact"/>
        <w:ind w:leftChars="67" w:left="141" w:firstLineChars="200" w:firstLine="420"/>
        <w:rPr>
          <w:rFonts w:ascii="仿宋_GB2312" w:eastAsia="仿宋_GB2312" w:hAnsi="宋体"/>
          <w:sz w:val="28"/>
        </w:rPr>
      </w:pPr>
      <w:r>
        <w:rPr>
          <w:rFonts w:hint="eastAsia"/>
        </w:rPr>
        <w:t>□</w:t>
      </w:r>
      <w:r>
        <w:rPr>
          <w:rFonts w:ascii="仿宋_GB2312" w:eastAsia="仿宋_GB2312" w:hAnsi="宋体" w:hint="eastAsia"/>
          <w:sz w:val="28"/>
        </w:rPr>
        <w:t>遭受自然灾害等突发事件造成损坏的；</w:t>
      </w:r>
    </w:p>
    <w:p>
      <w:pPr>
        <w:spacing w:line="520" w:lineRule="exact"/>
        <w:ind w:leftChars="67" w:left="141" w:firstLineChars="200" w:firstLine="420"/>
        <w:rPr>
          <w:rFonts w:ascii="仿宋_GB2312" w:eastAsia="仿宋_GB2312" w:hAnsi="宋体"/>
          <w:sz w:val="28"/>
        </w:rPr>
      </w:pPr>
      <w:r>
        <w:rPr>
          <w:rFonts w:hint="eastAsia"/>
        </w:rPr>
        <w:t>□</w:t>
      </w:r>
      <w:r>
        <w:rPr>
          <w:rFonts w:ascii="仿宋_GB2312" w:eastAsia="仿宋_GB2312" w:hAnsi="宋体" w:hint="eastAsia"/>
          <w:sz w:val="28"/>
        </w:rPr>
        <w:t>相关房屋主体结构经检测、鉴定存在安全隐患的。</w:t>
      </w:r>
    </w:p>
    <w:p>
      <w:pPr>
        <w:spacing w:line="520" w:lineRule="exact"/>
        <w:ind w:leftChars="67" w:left="141" w:firstLineChars="200" w:firstLine="420"/>
        <w:rPr>
          <w:rFonts w:ascii="仿宋_GB2312" w:eastAsia="仿宋_GB2312" w:hAnsi="宋体"/>
          <w:sz w:val="28"/>
        </w:rPr>
      </w:pPr>
      <w:r>
        <w:rPr>
          <w:rFonts w:hint="eastAsia"/>
        </w:rPr>
        <w:t>□</w:t>
      </w:r>
      <w:r>
        <w:rPr>
          <w:rFonts w:ascii="仿宋_GB2312" w:eastAsia="仿宋_GB2312" w:hAnsi="宋体" w:hint="eastAsia"/>
          <w:sz w:val="28"/>
        </w:rPr>
        <w:t>达到设计使用年限需要继续使用的；</w:t>
      </w:r>
    </w:p>
    <w:p>
      <w:pPr>
        <w:spacing w:line="520" w:lineRule="exact"/>
        <w:ind w:leftChars="67" w:left="141" w:firstLineChars="200" w:firstLine="420"/>
        <w:rPr>
          <w:rFonts w:ascii="仿宋_GB2312" w:hAnsi="宋体"/>
          <w:sz w:val="28"/>
          <w:u w:val="single"/>
        </w:rPr>
      </w:pPr>
      <w:r>
        <w:rPr>
          <w:rFonts w:hint="eastAsia"/>
        </w:rPr>
        <w:t>□</w:t>
      </w:r>
      <w:r>
        <w:rPr>
          <w:rFonts w:ascii="仿宋_GB2312" w:eastAsia="仿宋_GB2312" w:hAnsi="宋体" w:hint="eastAsia"/>
          <w:sz w:val="28"/>
        </w:rPr>
        <w:t>其他</w:t>
      </w:r>
    </w:p>
    <w:p>
      <w:pPr>
        <w:spacing w:line="520" w:lineRule="exact"/>
        <w:ind w:leftChars="67" w:left="141" w:firstLineChars="200" w:firstLine="560"/>
        <w:rPr>
          <w:rFonts w:ascii="仿宋_GB2312" w:eastAsia="仿宋_GB2312" w:hAnsi="宋体"/>
          <w:sz w:val="28"/>
        </w:rPr>
      </w:pPr>
      <w:r>
        <w:rPr>
          <w:rFonts w:ascii="仿宋_GB2312" w:eastAsia="仿宋_GB2312" w:hAnsi="宋体" w:hint="eastAsia"/>
          <w:sz w:val="28"/>
        </w:rPr>
        <w:t>按照《南京市房屋使用安全管理条例》第四十四条、四十五条的规定，请你（单位）接到本通知后日内按以下要求进行整改，确保建筑幕墙的使用安全：</w:t>
      </w:r>
    </w:p>
    <w:p>
      <w:pPr>
        <w:spacing w:line="520" w:lineRule="exact"/>
        <w:ind w:leftChars="267" w:left="561"/>
        <w:rPr>
          <w:rFonts w:ascii="仿宋_GB2312" w:eastAsia="仿宋_GB2312" w:hAnsi="宋体"/>
          <w:sz w:val="28"/>
        </w:rPr>
      </w:pPr>
      <w:r>
        <w:rPr>
          <w:rFonts w:hint="eastAsia"/>
        </w:rPr>
        <w:t>□</w:t>
      </w:r>
      <w:r>
        <w:rPr>
          <w:rFonts w:ascii="仿宋_GB2312" w:eastAsia="仿宋_GB2312" w:hAnsi="宋体" w:hint="eastAsia"/>
          <w:sz w:val="28"/>
        </w:rPr>
        <w:t>组织对建筑幕墙进行安全性能检查和评估；</w:t>
      </w:r>
    </w:p>
    <w:p>
      <w:pPr>
        <w:spacing w:line="520" w:lineRule="exact"/>
        <w:ind w:leftChars="267" w:left="561"/>
        <w:rPr>
          <w:rFonts w:ascii="仿宋_GB2312" w:eastAsia="仿宋_GB2312" w:hAnsi="宋体"/>
          <w:sz w:val="28"/>
        </w:rPr>
      </w:pPr>
      <w:r>
        <w:rPr>
          <w:rFonts w:hint="eastAsia"/>
        </w:rPr>
        <w:t>□</w:t>
      </w:r>
      <w:r>
        <w:rPr>
          <w:rFonts w:ascii="仿宋_GB2312" w:eastAsia="仿宋_GB2312" w:hAnsi="宋体" w:hint="eastAsia"/>
          <w:sz w:val="28"/>
        </w:rPr>
        <w:t>委托具有检测或设计能力的单位进行幕墙安全性能鉴定。</w:t>
      </w:r>
    </w:p>
    <w:p>
      <w:pPr>
        <w:spacing w:line="520" w:lineRule="exact"/>
        <w:ind w:leftChars="267" w:left="561"/>
        <w:rPr>
          <w:rFonts w:ascii="仿宋_GB2312" w:eastAsia="仿宋_GB2312" w:hAnsi="宋体"/>
          <w:sz w:val="28"/>
        </w:rPr>
      </w:pPr>
      <w:r>
        <w:rPr>
          <w:rFonts w:hint="eastAsia"/>
        </w:rPr>
        <w:t>□</w:t>
      </w:r>
      <w:r>
        <w:rPr>
          <w:rFonts w:ascii="仿宋_GB2312" w:eastAsia="仿宋_GB2312" w:hAnsi="宋体" w:hint="eastAsia"/>
          <w:sz w:val="28"/>
        </w:rPr>
        <w:t>委托具有相应资质等级的加固设计单位对险情隐患进行治理。</w:t>
      </w:r>
    </w:p>
    <w:p>
      <w:pPr>
        <w:spacing w:line="520" w:lineRule="exact"/>
        <w:ind w:firstLineChars="200" w:firstLine="560"/>
        <w:rPr>
          <w:rFonts w:ascii="仿宋_GB2312" w:eastAsia="仿宋_GB2312" w:hAnsi="宋体"/>
          <w:b/>
          <w:sz w:val="28"/>
        </w:rPr>
      </w:pPr>
      <w:r>
        <w:rPr>
          <w:rFonts w:ascii="仿宋_GB2312" w:eastAsia="仿宋_GB2312" w:hAnsi="宋体" w:hint="eastAsia"/>
          <w:sz w:val="28"/>
        </w:rPr>
        <w:t>逾期拒不整改，将依据《南京市房屋使用安全管理条例》有关规定对你（单位）的依法实施行政处罚。</w:t>
      </w:r>
    </w:p>
    <w:p>
      <w:pPr>
        <w:spacing w:line="520" w:lineRule="exact"/>
        <w:ind w:firstLineChars="200" w:firstLine="560"/>
        <w:rPr>
          <w:rFonts w:ascii="仿宋_GB2312" w:eastAsia="仿宋_GB2312" w:hAnsi="宋体"/>
          <w:sz w:val="28"/>
        </w:rPr>
      </w:pPr>
      <w:r>
        <w:rPr>
          <w:rFonts w:ascii="仿宋_GB2312" w:eastAsia="仿宋_GB2312" w:hAnsi="宋体" w:hint="eastAsia"/>
          <w:sz w:val="28"/>
        </w:rPr>
        <w:t>特此通知。</w:t>
      </w:r>
    </w:p>
    <w:p>
      <w:pPr>
        <w:spacing w:line="520" w:lineRule="exact"/>
        <w:ind w:leftChars="2230" w:left="4683" w:firstLineChars="500" w:firstLine="1400"/>
        <w:rPr>
          <w:rFonts w:ascii="仿宋_GB2312" w:eastAsia="仿宋_GB2312" w:hAnsi="宋体"/>
          <w:sz w:val="28"/>
        </w:rPr>
      </w:pPr>
    </w:p>
    <w:p>
      <w:pPr>
        <w:spacing w:line="520" w:lineRule="exact"/>
        <w:ind w:leftChars="2230" w:left="4683" w:firstLineChars="500" w:firstLine="1400"/>
        <w:rPr>
          <w:rFonts w:ascii="仿宋_GB2312" w:eastAsia="仿宋_GB2312" w:hAnsi="宋体"/>
          <w:sz w:val="28"/>
        </w:rPr>
      </w:pPr>
    </w:p>
    <w:p>
      <w:pPr>
        <w:spacing w:line="520" w:lineRule="exact"/>
        <w:ind w:leftChars="2230" w:left="4683" w:firstLineChars="500" w:firstLine="1400"/>
        <w:rPr>
          <w:rFonts w:ascii="宋体"/>
          <w:b/>
          <w:sz w:val="28"/>
        </w:rPr>
      </w:pPr>
      <w:r>
        <w:rPr>
          <w:rFonts w:ascii="仿宋_GB2312" w:eastAsia="仿宋_GB2312" w:hAnsi="宋体"/>
          <w:sz w:val="28"/>
        </w:rPr>
        <w:t>(</w:t>
      </w:r>
      <w:r>
        <w:rPr>
          <w:rFonts w:ascii="仿宋_GB2312" w:eastAsia="仿宋_GB2312" w:hAnsi="宋体" w:hint="eastAsia"/>
          <w:sz w:val="28"/>
        </w:rPr>
        <w:t>盖章</w:t>
      </w:r>
      <w:r>
        <w:rPr>
          <w:rFonts w:ascii="仿宋_GB2312" w:eastAsia="仿宋_GB2312" w:hAnsi="宋体"/>
          <w:sz w:val="28"/>
        </w:rPr>
        <w:t>)</w:t>
      </w:r>
    </w:p>
    <w:p>
      <w:pPr>
        <w:jc w:val="center"/>
      </w:pPr>
      <w:r>
        <w:rPr>
          <w:rFonts w:ascii="仿宋_GB2312" w:eastAsia="仿宋_GB2312" w:hAnsi="宋体" w:hint="eastAsia"/>
          <w:b/>
          <w:sz w:val="28"/>
        </w:rPr>
        <w:t xml:space="preserve">                            年月日</w:t>
      </w:r>
    </w:p>
    <w:p>
      <w:pPr>
        <w:jc w:val="center"/>
      </w:pPr>
    </w:p>
    <w:p>
      <w:pPr>
        <w:jc w:val="center"/>
      </w:pPr>
    </w:p>
    <w:p>
      <w:pPr>
        <w:jc w:val="center"/>
      </w:pPr>
    </w:p>
    <w:p>
      <w:pPr>
        <w:widowControl/>
        <w:jc w:val="left"/>
      </w:pPr>
      <w:r>
        <w:br w:type="page"/>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Times New Roman" w:eastAsia="方正小标宋简体" w:hAnsi="Times New Roman"/>
          <w:sz w:val="44"/>
          <w:szCs w:val="44"/>
        </w:rPr>
      </w:pPr>
      <w:r>
        <w:rPr>
          <w:rFonts w:ascii="方正小标宋简体" w:eastAsia="方正小标宋简体" w:hint="eastAsia"/>
          <w:sz w:val="44"/>
          <w:szCs w:val="44"/>
        </w:rPr>
        <w:t>关于印发《南京市房产行政处罚自由裁量基准（房屋使用安全类）》的通知</w:t>
      </w:r>
    </w:p>
    <w:p>
      <w:pPr>
        <w:jc w:val="center"/>
        <w:rPr>
          <w:rFonts w:ascii="仿宋_GB2312" w:eastAsia="仿宋_GB2312" w:cs="仿宋_GB2312" w:hAnsi="仿宋_GB2312" w:hint="eastAsia"/>
          <w:sz w:val="32"/>
          <w:szCs w:val="32"/>
        </w:rPr>
      </w:pPr>
      <w:r>
        <w:rPr>
          <w:rFonts w:ascii="仿宋_GB2312" w:eastAsia="仿宋_GB2312" w:cs="仿宋_GB2312" w:hAnsi="仿宋_GB2312" w:hint="eastAsia"/>
          <w:sz w:val="32"/>
          <w:szCs w:val="32"/>
        </w:rPr>
        <w:t>宁房规字〔2020〕2号</w:t>
      </w:r>
    </w:p>
    <w:p>
      <w:pPr>
        <w:spacing w:line="640" w:lineRule="exact"/>
        <w:rPr>
          <w:rFonts w:ascii="Times New Roman" w:eastAsia="仿宋_GB2312" w:hAnsi="Times New Roman" w:hint="eastAsia"/>
          <w:sz w:val="32"/>
          <w:szCs w:val="32"/>
        </w:rPr>
      </w:pPr>
    </w:p>
    <w:p>
      <w:pPr>
        <w:spacing w:line="640" w:lineRule="exact"/>
        <w:rPr>
          <w:rFonts w:ascii="Times New Roman" w:eastAsia="仿宋_GB2312" w:hAnsi="Times New Roman"/>
          <w:sz w:val="32"/>
          <w:szCs w:val="32"/>
        </w:rPr>
      </w:pPr>
      <w:r>
        <w:rPr>
          <w:rFonts w:ascii="Times New Roman" w:eastAsia="仿宋_GB2312" w:hAnsi="Times New Roman" w:hint="eastAsia"/>
          <w:sz w:val="32"/>
          <w:szCs w:val="32"/>
        </w:rPr>
        <w:t>江北新区建交局、各区房产（住建）局，局机关各处室、各直属单位：</w:t>
      </w:r>
    </w:p>
    <w:p>
      <w:pPr>
        <w:spacing w:line="640" w:lineRule="exact"/>
        <w:ind w:firstLineChars="200" w:firstLine="640"/>
        <w:rPr>
          <w:rFonts w:ascii="仿宋_GB2312" w:eastAsia="仿宋_GB2312" w:cs="仿宋_GB2312" w:hAnsi="仿宋_GB2312" w:hint="eastAsia"/>
          <w:sz w:val="32"/>
          <w:szCs w:val="32"/>
        </w:rPr>
      </w:pPr>
      <w:r>
        <w:rPr>
          <w:rFonts w:ascii="Times New Roman" w:eastAsia="仿宋_GB2312" w:hAnsi="Times New Roman" w:hint="eastAsia"/>
          <w:sz w:val="32"/>
          <w:szCs w:val="32"/>
        </w:rPr>
        <w:t>为统一和规范全市房屋使用安全领域行政处罚的裁量尺度，促进公开、公平、公正执法，提高执法公信力，我局研究制定了《南京市房产行政处罚自由裁量基准（房屋使用安全类）》，现印发给你们，请结合工作实际遵照执行。本通</w:t>
      </w:r>
      <w:r>
        <w:rPr>
          <w:rFonts w:ascii="仿宋_GB2312" w:eastAsia="仿宋_GB2312" w:cs="仿宋_GB2312" w:hAnsi="仿宋_GB2312" w:hint="eastAsia"/>
          <w:sz w:val="32"/>
          <w:szCs w:val="32"/>
        </w:rPr>
        <w:t>知自2020年10月29日起实施，有效期至2028年8月24日止。</w:t>
      </w:r>
    </w:p>
    <w:p>
      <w:pPr>
        <w:spacing w:line="360" w:lineRule="auto"/>
        <w:ind w:firstLineChars="200" w:firstLine="640"/>
        <w:rPr>
          <w:rFonts w:ascii="仿宋_GB2312" w:eastAsia="仿宋_GB2312" w:cs="仿宋_GB2312" w:hAnsi="仿宋_GB2312" w:hint="eastAsia"/>
          <w:sz w:val="32"/>
          <w:szCs w:val="32"/>
        </w:rPr>
      </w:pPr>
    </w:p>
    <w:p>
      <w:pPr>
        <w:spacing w:line="360" w:lineRule="auto"/>
        <w:ind w:firstLineChars="200" w:firstLine="640"/>
        <w:rPr>
          <w:rFonts w:ascii="仿宋_GB2312" w:eastAsia="仿宋_GB2312" w:cs="仿宋_GB2312" w:hAnsi="仿宋_GB2312" w:hint="eastAsia"/>
          <w:sz w:val="32"/>
          <w:szCs w:val="32"/>
        </w:rPr>
      </w:pPr>
    </w:p>
    <w:p>
      <w:pPr>
        <w:spacing w:line="360" w:lineRule="auto"/>
        <w:ind w:firstLineChars="200" w:firstLine="640"/>
        <w:rPr>
          <w:rFonts w:ascii="仿宋_GB2312" w:eastAsia="仿宋_GB2312" w:cs="仿宋_GB2312" w:hAnsi="仿宋_GB2312" w:hint="eastAsia"/>
          <w:sz w:val="32"/>
          <w:szCs w:val="32"/>
        </w:rPr>
      </w:pPr>
    </w:p>
    <w:p>
      <w:pPr>
        <w:spacing w:line="520" w:lineRule="exact"/>
        <w:ind w:right="-74"/>
        <w:rPr>
          <w:rFonts w:ascii="仿宋_GB2312" w:eastAsia="仿宋_GB2312" w:cs="仿宋_GB2312" w:hAnsi="仿宋_GB2312" w:hint="eastAsia"/>
          <w:sz w:val="32"/>
          <w:szCs w:val="32"/>
        </w:rPr>
      </w:pPr>
      <w:r>
        <w:rPr>
          <w:rFonts w:ascii="仿宋_GB2312" w:eastAsia="仿宋_GB2312" w:cs="仿宋_GB2312" w:hAnsi="仿宋_GB2312" w:hint="eastAsia"/>
          <w:sz w:val="32"/>
          <w:szCs w:val="32"/>
        </w:rPr>
        <w:t>　　　　　　　　　　　　　南京市住房保障和房产局</w:t>
      </w:r>
    </w:p>
    <w:p>
      <w:pPr>
        <w:spacing w:line="520" w:lineRule="exact"/>
        <w:ind w:firstLineChars="1631" w:firstLine="5219"/>
        <w:rPr>
          <w:rFonts w:ascii="Times New Roman" w:eastAsia="仿宋_GB2312" w:hAnsi="Times New Roman"/>
          <w:sz w:val="32"/>
          <w:szCs w:val="32"/>
        </w:rPr>
      </w:pPr>
      <w:r>
        <w:rPr>
          <w:rFonts w:ascii="仿宋_GB2312" w:eastAsia="仿宋_GB2312" w:cs="仿宋_GB2312" w:hAnsi="仿宋_GB2312" w:hint="eastAsia"/>
          <w:sz w:val="32"/>
          <w:szCs w:val="32"/>
        </w:rPr>
        <w:t>2020年10月29日</w:t>
      </w: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widowControl/>
        <w:jc w:val="left"/>
        <w:rPr>
          <w:rFonts w:ascii="黑体" w:eastAsia="黑体" w:hAnsi="黑体"/>
        </w:rPr>
      </w:pPr>
      <w:r>
        <w:rPr>
          <w:rFonts w:ascii="黑体" w:eastAsia="黑体" w:hAnsi="黑体"/>
        </w:rPr>
        <w:br w:type="page"/>
      </w:r>
    </w:p>
    <w:p>
      <w:pPr>
        <w:jc w:val="center"/>
        <w:rPr>
          <w:rFonts w:ascii="黑体" w:eastAsia="黑体" w:hAnsi="黑体"/>
        </w:rPr>
        <w:sectPr>
          <w:footerReference w:type="default" r:id="rId4"/>
          <w:pgSz w:w="11906" w:h="16838"/>
          <w:pgMar w:top="1440" w:right="1800" w:bottom="1440" w:left="1800" w:header="851" w:footer="992" w:gutter="0"/>
          <w:pgNumType/>
          <w:cols w:num="1" w:space="425"/>
          <w:docGrid w:type="lines" w:linePitch="312" w:charSpace="0"/>
        </w:sectPr>
      </w:pPr>
    </w:p>
    <w:tbl>
      <w:tblPr>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437"/>
        <w:gridCol w:w="3233"/>
        <w:gridCol w:w="5031"/>
        <w:gridCol w:w="3473"/>
      </w:tblGrid>
      <w:tr>
        <w:trPr>
          <w:trHeight w:val="600"/>
        </w:trPr>
        <w:tc>
          <w:tcPr>
            <w:tcW w:w="14174" w:type="dxa"/>
            <w:gridSpan w:val="4"/>
            <w:noWrap/>
            <w:vAlign w:val="center"/>
          </w:tcPr>
          <w:p>
            <w:pPr>
              <w:snapToGrid w:val="0"/>
              <w:jc w:val="center"/>
              <w:rPr>
                <w:rFonts w:ascii="Times New Roman" w:eastAsia="仿宋_GB2312" w:hAnsi="Times New Roman"/>
                <w:b/>
                <w:bCs/>
                <w:sz w:val="28"/>
                <w:szCs w:val="28"/>
              </w:rPr>
            </w:pPr>
            <w:r>
              <w:rPr>
                <w:rFonts w:ascii="Times New Roman" w:eastAsia="仿宋_GB2312" w:hAnsi="Times New Roman" w:hint="eastAsia"/>
                <w:b/>
                <w:bCs/>
                <w:sz w:val="28"/>
                <w:szCs w:val="28"/>
              </w:rPr>
              <w:t>南京市房产行政处罚自由裁量基准（房屋使用安全类）</w:t>
            </w:r>
          </w:p>
        </w:tc>
      </w:tr>
      <w:tr>
        <w:trPr>
          <w:trHeight w:val="285"/>
        </w:trPr>
        <w:tc>
          <w:tcPr>
            <w:tcW w:w="2437" w:type="dxa"/>
            <w:noWrap/>
            <w:vAlign w:val="center"/>
          </w:tcPr>
          <w:p>
            <w:pPr>
              <w:snapToGrid w:val="0"/>
              <w:jc w:val="center"/>
              <w:rPr>
                <w:rFonts w:ascii="Times New Roman" w:eastAsia="仿宋_GB2312" w:hAnsi="Times New Roman"/>
                <w:b/>
                <w:bCs/>
                <w:sz w:val="24"/>
              </w:rPr>
            </w:pPr>
            <w:r>
              <w:rPr>
                <w:rFonts w:ascii="Times New Roman" w:eastAsia="仿宋_GB2312" w:hAnsi="Times New Roman" w:hint="eastAsia"/>
                <w:b/>
                <w:bCs/>
                <w:sz w:val="24"/>
              </w:rPr>
              <w:t>处罚事项名称</w:t>
            </w:r>
          </w:p>
        </w:tc>
        <w:tc>
          <w:tcPr>
            <w:tcW w:w="3233" w:type="dxa"/>
            <w:tcBorders>
              <w:top w:val="single" w:sz="4" w:space="0" w:color="auto"/>
              <w:left w:val="single" w:sz="4" w:space="0" w:color="auto"/>
              <w:right w:val="single" w:sz="4" w:space="0" w:color="auto"/>
            </w:tcBorders>
            <w:noWrap/>
            <w:vAlign w:val="center"/>
          </w:tcPr>
          <w:p>
            <w:pPr>
              <w:snapToGrid w:val="0"/>
              <w:jc w:val="center"/>
              <w:rPr>
                <w:rFonts w:ascii="Times New Roman" w:eastAsia="仿宋_GB2312" w:hAnsi="Times New Roman"/>
                <w:b/>
                <w:bCs/>
                <w:sz w:val="24"/>
              </w:rPr>
            </w:pPr>
            <w:r>
              <w:rPr>
                <w:rFonts w:ascii="Times New Roman" w:eastAsia="仿宋_GB2312" w:hAnsi="Times New Roman" w:hint="eastAsia"/>
                <w:b/>
                <w:bCs/>
                <w:sz w:val="24"/>
              </w:rPr>
              <w:t>罚则依据</w:t>
            </w:r>
          </w:p>
        </w:tc>
        <w:tc>
          <w:tcPr>
            <w:tcW w:w="5031" w:type="dxa"/>
            <w:tcBorders>
              <w:top w:val="single" w:sz="4" w:space="0" w:color="auto"/>
              <w:left w:val="single" w:sz="4" w:space="0" w:color="auto"/>
              <w:right w:val="single" w:sz="4" w:space="0" w:color="auto"/>
            </w:tcBorders>
            <w:noWrap/>
            <w:vAlign w:val="center"/>
          </w:tcPr>
          <w:p>
            <w:pPr>
              <w:snapToGrid w:val="0"/>
              <w:jc w:val="center"/>
              <w:rPr>
                <w:rFonts w:ascii="Times New Roman" w:eastAsia="仿宋_GB2312" w:hAnsi="Times New Roman"/>
                <w:b/>
                <w:bCs/>
                <w:sz w:val="24"/>
              </w:rPr>
            </w:pPr>
            <w:r>
              <w:rPr>
                <w:rFonts w:ascii="Times New Roman" w:eastAsia="仿宋_GB2312" w:hAnsi="Times New Roman" w:hint="eastAsia"/>
                <w:b/>
                <w:bCs/>
                <w:sz w:val="24"/>
              </w:rPr>
              <w:t>违法行为阶次裁量参照基准</w:t>
            </w:r>
          </w:p>
        </w:tc>
        <w:tc>
          <w:tcPr>
            <w:tcW w:w="3473" w:type="dxa"/>
            <w:noWrap/>
            <w:vAlign w:val="center"/>
          </w:tcPr>
          <w:p>
            <w:pPr>
              <w:snapToGrid w:val="0"/>
              <w:jc w:val="center"/>
              <w:rPr>
                <w:rFonts w:ascii="Times New Roman" w:eastAsia="仿宋_GB2312" w:hAnsi="Times New Roman"/>
                <w:b/>
                <w:bCs/>
                <w:sz w:val="24"/>
              </w:rPr>
            </w:pPr>
            <w:r>
              <w:rPr>
                <w:rFonts w:ascii="Times New Roman" w:eastAsia="仿宋_GB2312" w:hAnsi="Times New Roman" w:hint="eastAsia"/>
                <w:b/>
                <w:bCs/>
                <w:sz w:val="24"/>
              </w:rPr>
              <w:t>处罚幅度裁量参照基准</w:t>
            </w:r>
          </w:p>
        </w:tc>
      </w:tr>
      <w:tr>
        <w:trPr>
          <w:trHeight w:val="3818"/>
        </w:trPr>
        <w:tc>
          <w:tcPr>
            <w:tcW w:w="2437" w:type="dxa"/>
          </w:tcPr>
          <w:p>
            <w:pPr>
              <w:snapToGrid w:val="0"/>
              <w:rPr>
                <w:rFonts w:ascii="Times New Roman" w:eastAsia="仿宋_GB2312" w:hAnsi="Times New Roman"/>
                <w:sz w:val="24"/>
              </w:rPr>
            </w:pPr>
            <w:r>
              <w:rPr>
                <w:rFonts w:ascii="Times New Roman" w:eastAsia="仿宋_GB2312" w:hAnsi="Times New Roman" w:hint="eastAsia"/>
                <w:sz w:val="24"/>
              </w:rPr>
              <w:t>对房屋使用安全责任人装饰装修拆改房屋主要承重构件、抗震措施，或者超过设计标准增大荷载的处罚</w:t>
            </w:r>
          </w:p>
        </w:tc>
        <w:tc>
          <w:tcPr>
            <w:tcW w:w="3233"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地方性法规《南京市房屋使用安全管理条例》第六十条　房屋使用安全责任人违反本条例第十一条第一项、第二项规定，装饰装修拆改房屋主要承重构件、抗震措施，或者超过设计标准增大荷载的，由区房屋安全行政主管部门责令限期改正，恢复原状，并可处以一万元以上五万元以下罚款；行为严重的，可处以五万元以上十万元以下罚款。逾期不改正的，由区房屋安全行政主管部门依法申请人民法院强制执行。</w:t>
            </w:r>
          </w:p>
        </w:tc>
        <w:tc>
          <w:tcPr>
            <w:tcW w:w="5031"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一、违法行为轻微（造成房屋局部结构产生安全隐患的）</w:t>
              <w:br/>
              <w:t>(1)拆除具有抗震功能的非主体承重结构的构件，数量少且不明显影响安全的；(2)在现浇柱、梁上打孔，孔径较小，未伤及受力钢筋的（主筋）。(3)在承重墙上开门、开窗，开挖壁柜，削薄墙体但宽度较小或墙面开洞面积≤10％的；(4)在圈梁、构造柱上打孔，未破坏纵向主筋的。（5）超过设计标准增大荷载（0~30%）</w:t>
              <w:br/>
              <w:t>二、违法行为一般（造成房屋局部结构产生较大安全隐患的）</w:t>
              <w:br/>
              <w:t>(1)在钢筋混凝土承重墙上开门、窗、洞口且变动部位少孔径较小的；(2)在承重梁、柱上多处开孔且孔径较大，破坏受力钢筋的；（3)在承重墙上多处开门窗洞口；在承重墙上开挖壁柜、削薄承重墙体面积较大的。（5）超过设计标准增大荷载（30%~70%）</w:t>
              <w:br/>
              <w:t>三、违法行为严重（造成房屋结构产生严重安全隐患或造成相邻房屋明显裂损的。）</w:t>
              <w:br/>
              <w:t>(1)在钢筋砼承重墙、梁、板、柱上开门、窗、洞口且变动部位多、面积大；(2)部分或全部拆除一侧钢筋砼承重墙或凿断主要构件的受力钢筋；（3）拆除承重墙或在承重墙、梁、板、柱上多处开门、窗洞（孔）；(4)在承重墙上开挖壁柜且变动部位多孔径大。（5）超过设计标准增大荷载（70%以上）。</w:t>
            </w:r>
          </w:p>
        </w:tc>
        <w:tc>
          <w:tcPr>
            <w:tcW w:w="3473" w:type="dxa"/>
          </w:tcPr>
          <w:p>
            <w:pPr>
              <w:snapToGrid w:val="0"/>
              <w:rPr>
                <w:rFonts w:ascii="Times New Roman" w:eastAsia="仿宋_GB2312" w:hAnsi="Times New Roman"/>
                <w:sz w:val="24"/>
              </w:rPr>
            </w:pPr>
            <w:r>
              <w:rPr>
                <w:rFonts w:ascii="Times New Roman" w:eastAsia="仿宋_GB2312" w:hAnsi="Times New Roman" w:hint="eastAsia"/>
                <w:sz w:val="24"/>
              </w:rPr>
              <w:t>1、违法行为轻微的，责令改正，恢复原状，可处以1万元以上3万元（不含）以下的罚款；</w:t>
              <w:br/>
              <w:t>2、违法行为一般的，责令改正，恢复原状，可处以3万元以上5万元以下的罚款；</w:t>
            </w:r>
          </w:p>
          <w:p>
            <w:pPr>
              <w:snapToGrid w:val="0"/>
              <w:rPr>
                <w:rFonts w:ascii="Times New Roman" w:eastAsia="仿宋_GB2312" w:hAnsi="Times New Roman"/>
                <w:sz w:val="24"/>
              </w:rPr>
            </w:pPr>
            <w:r>
              <w:rPr>
                <w:rFonts w:ascii="Times New Roman" w:eastAsia="仿宋_GB2312" w:hAnsi="Times New Roman" w:hint="eastAsia"/>
                <w:sz w:val="24"/>
              </w:rPr>
              <w:t>3、违法行为严重的，责令改正，恢复原状，可处以5万元至10万元的罚款。</w:t>
            </w:r>
          </w:p>
        </w:tc>
      </w:tr>
      <w:tr>
        <w:trPr>
          <w:trHeight w:val="1694"/>
        </w:trPr>
        <w:tc>
          <w:tcPr>
            <w:tcW w:w="2437" w:type="dxa"/>
          </w:tcPr>
          <w:p>
            <w:pPr>
              <w:snapToGrid w:val="0"/>
              <w:rPr>
                <w:rFonts w:ascii="Times New Roman" w:eastAsia="仿宋_GB2312" w:hAnsi="Times New Roman"/>
                <w:sz w:val="24"/>
              </w:rPr>
            </w:pPr>
            <w:r>
              <w:rPr>
                <w:rFonts w:ascii="Times New Roman" w:eastAsia="仿宋_GB2312" w:hAnsi="Times New Roman" w:hint="eastAsia"/>
                <w:sz w:val="24"/>
              </w:rPr>
              <w:t>对房屋使用安全责任人未经许可变动房屋结构或者未按照许可的方案施工的处罚</w:t>
            </w:r>
          </w:p>
        </w:tc>
        <w:tc>
          <w:tcPr>
            <w:tcW w:w="3233"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地方性法规《南京市房屋使用安全管理条例》第六十一条　房屋使用安全责任人违反本条例第十二条、第十六条规定，未经许可或者未按照许可的方案施工的，由区房屋安全行政主管部门责令限期改正；逾期不改正的，可处以五千元以上三万元以下罚款；行为严重的，可处以三万元以上五万元以下罚款；造成经济损失的，房屋使用安全责任人依法承担赔偿责任。</w:t>
            </w:r>
          </w:p>
        </w:tc>
        <w:tc>
          <w:tcPr>
            <w:tcW w:w="5031"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一、违法行为轻微</w:t>
              <w:br/>
              <w:t>(1)未经许可，拆除个别非承重墙；(2)未经许可，楼面结构层开、扩洞口面积未超出《南京市房屋结构变动安全许可实施细则》规定标准30%，且洞口长宽比未超出规定标准的。</w:t>
              <w:br/>
              <w:t>二、违法行为一般</w:t>
              <w:br/>
              <w:t>(1)未经许可，拆除部分非承重墙；(2)未经许可，楼面结构层开、扩洞口面积超出《南京市房屋结构变动安全许可实施细则》规定标准30%-70%且洞口长宽比未超出规定标准，或洞口面积未超出规定标准30%但洞口长宽比超出规定标准的。</w:t>
              <w:br/>
              <w:t>三、违法行为严重</w:t>
              <w:br/>
              <w:t>(1)未经许可，拆除大部分非承重墙体；(2)未经许可，楼面结构层开、扩洞口面积超出《南京市房屋结构变动安全许可实施细则》规定标准70%以上，或洞口面积超出规定标准30-70%且洞口长宽比超出规定标准的。</w:t>
              <w:br/>
              <w:t>四、开、扩多个洞口或洞口超出板跨区域的，可结合对房屋使用安全的危害程度按上一级阶次认定。未按许可的方案施工视为未经许可。</w:t>
            </w:r>
          </w:p>
        </w:tc>
        <w:tc>
          <w:tcPr>
            <w:tcW w:w="3473" w:type="dxa"/>
          </w:tcPr>
          <w:p>
            <w:pPr>
              <w:snapToGrid w:val="0"/>
              <w:rPr>
                <w:rFonts w:ascii="Times New Roman" w:eastAsia="仿宋_GB2312" w:hAnsi="Times New Roman"/>
                <w:sz w:val="24"/>
              </w:rPr>
            </w:pPr>
            <w:r>
              <w:rPr>
                <w:rFonts w:ascii="Times New Roman" w:eastAsia="仿宋_GB2312" w:hAnsi="Times New Roman" w:hint="eastAsia"/>
                <w:sz w:val="24"/>
              </w:rPr>
              <w:t>1、违法行为轻微的，责令改正，可处以5千元以上1万5千元（不含）以下的罚款；</w:t>
              <w:br/>
              <w:t>2、违法行为一般的，责令改正，可处以1万5千元以上3万元以下的罚款；</w:t>
            </w:r>
          </w:p>
          <w:p>
            <w:pPr>
              <w:snapToGrid w:val="0"/>
              <w:rPr>
                <w:rFonts w:ascii="Times New Roman" w:eastAsia="仿宋_GB2312" w:hAnsi="Times New Roman"/>
                <w:sz w:val="24"/>
              </w:rPr>
            </w:pPr>
            <w:r>
              <w:rPr>
                <w:rFonts w:ascii="Times New Roman" w:eastAsia="仿宋_GB2312" w:hAnsi="Times New Roman" w:hint="eastAsia"/>
                <w:sz w:val="24"/>
              </w:rPr>
              <w:t>3、违法行为严重的，责令改正，可处以3万元至5万元的罚款。</w:t>
            </w:r>
          </w:p>
        </w:tc>
      </w:tr>
      <w:tr>
        <w:trPr>
          <w:trHeight w:val="1269"/>
        </w:trPr>
        <w:tc>
          <w:tcPr>
            <w:tcW w:w="2437" w:type="dxa"/>
          </w:tcPr>
          <w:p>
            <w:pPr>
              <w:snapToGrid w:val="0"/>
              <w:rPr>
                <w:rFonts w:ascii="Times New Roman" w:eastAsia="仿宋_GB2312" w:hAnsi="Times New Roman"/>
                <w:sz w:val="24"/>
              </w:rPr>
            </w:pPr>
            <w:r>
              <w:rPr>
                <w:rFonts w:ascii="Times New Roman" w:eastAsia="仿宋_GB2312" w:hAnsi="Times New Roman" w:hint="eastAsia"/>
                <w:sz w:val="24"/>
              </w:rPr>
              <w:t>对建设单位未将房屋的结构型式、设计使用年限、楼（屋）面设计荷载或者白蚁防治等使用注意事项书面告知买受人的处罚</w:t>
            </w:r>
          </w:p>
        </w:tc>
        <w:tc>
          <w:tcPr>
            <w:tcW w:w="3233"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地方性法规《南京市房屋使用安全管理条例》第六十二条　建设单位违反本条例第十八条第一款规定，未将房屋的结构型式、设计使用年限、楼（屋）面设计荷载或者白蚁防治等使用注意事项书面告知买受人的，由房屋安全行政主管部门责令限期改正，并可处以五千元以上三万元以下罚款。</w:t>
            </w:r>
          </w:p>
        </w:tc>
        <w:tc>
          <w:tcPr>
            <w:tcW w:w="5031"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一、违法行为轻微：</w:t>
              <w:br/>
              <w:t>应告知事项有一项未告知买受人的；</w:t>
              <w:br/>
              <w:t>二、违法行为一般：</w:t>
              <w:br/>
              <w:t>应告知事项有两项未告知买受人的；</w:t>
              <w:br/>
              <w:t>三、违法行为严重：</w:t>
              <w:br/>
              <w:t>应告知事项有三项及以上未告知买受人的。</w:t>
            </w:r>
          </w:p>
        </w:tc>
        <w:tc>
          <w:tcPr>
            <w:tcW w:w="3473" w:type="dxa"/>
          </w:tcPr>
          <w:p>
            <w:pPr>
              <w:snapToGrid w:val="0"/>
              <w:rPr>
                <w:rFonts w:ascii="Times New Roman" w:eastAsia="仿宋_GB2312" w:hAnsi="Times New Roman"/>
                <w:sz w:val="24"/>
              </w:rPr>
            </w:pPr>
            <w:r>
              <w:rPr>
                <w:rFonts w:ascii="Times New Roman" w:eastAsia="仿宋_GB2312" w:hAnsi="Times New Roman" w:hint="eastAsia"/>
                <w:sz w:val="24"/>
              </w:rPr>
              <w:t>1、违法行为轻微的，责令改正，并可处以5千元以上1万元（不含）以下的罚款；</w:t>
              <w:br/>
              <w:t>2、违法行为一般的，责令改正，并可处以1万以上1万5千元（不含）以下的罚款；</w:t>
            </w:r>
          </w:p>
          <w:p>
            <w:pPr>
              <w:snapToGrid w:val="0"/>
              <w:rPr>
                <w:rFonts w:ascii="Times New Roman" w:eastAsia="仿宋_GB2312" w:hAnsi="Times New Roman"/>
                <w:sz w:val="24"/>
              </w:rPr>
            </w:pPr>
            <w:r>
              <w:rPr>
                <w:rFonts w:ascii="Times New Roman" w:eastAsia="仿宋_GB2312" w:hAnsi="Times New Roman" w:hint="eastAsia"/>
                <w:sz w:val="24"/>
              </w:rPr>
              <w:t>3、违法行为严重的，责令改正，并可处以1万5千元以上3万元以下的罚款。</w:t>
            </w:r>
          </w:p>
        </w:tc>
      </w:tr>
      <w:tr>
        <w:trPr>
          <w:trHeight w:val="2120"/>
        </w:trPr>
        <w:tc>
          <w:tcPr>
            <w:tcW w:w="2437" w:type="dxa"/>
          </w:tcPr>
          <w:p>
            <w:pPr>
              <w:snapToGrid w:val="0"/>
              <w:rPr>
                <w:rFonts w:ascii="Times New Roman" w:eastAsia="仿宋_GB2312" w:hAnsi="Times New Roman"/>
                <w:sz w:val="24"/>
              </w:rPr>
            </w:pPr>
            <w:r>
              <w:rPr>
                <w:rFonts w:ascii="Times New Roman" w:eastAsia="仿宋_GB2312" w:hAnsi="Times New Roman" w:hint="eastAsia"/>
                <w:sz w:val="24"/>
              </w:rPr>
              <w:t>对房屋使用安全责任人、建设单位、建筑幕墙安全维护人拒不委托鉴定可能危害公共安全的处罚</w:t>
            </w:r>
          </w:p>
        </w:tc>
        <w:tc>
          <w:tcPr>
            <w:tcW w:w="3233"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地方性法规《南京市房屋使用安全管理条例》第六十四条　房屋使用安全责任人违反本条例第二十条规定、建设单位违反本条例第二十一条第一款规定、建筑幕墙安全维护人违反本条例第四十五条规定，拒不委托鉴定可能危害公共安全的，由房屋安全行政主管部门责令限期改正；逾期仍不委托鉴定的，可对个人处以二千元以上一万元以下罚款，对单位处以一万元以上五万元以下罚款；因拒不委托鉴定造成后果的，可对个人处以一万元以上五万元以下罚款，对单位处以五万元以上二十万元以下罚款。</w:t>
            </w:r>
          </w:p>
        </w:tc>
        <w:tc>
          <w:tcPr>
            <w:tcW w:w="5031"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一、违法行为轻微：</w:t>
              <w:br/>
              <w:t>逾期3个工作日以内仍未委托鉴定的；</w:t>
              <w:br/>
              <w:t>二、违法行为一般：</w:t>
              <w:br/>
              <w:t>逾期3个工作日（不含）以上，5个工作日以内仍未委托鉴定的；</w:t>
              <w:br/>
              <w:t>三、违法行为严重：</w:t>
              <w:br/>
              <w:t>逾期超过5个工作日仍未委托鉴定的。</w:t>
              <w:br/>
              <w:t>四、造成后果轻微：</w:t>
              <w:br/>
              <w:t>造成财产损失20万元（不含）以内的；</w:t>
              <w:br/>
              <w:t>五、造成后果一般：</w:t>
              <w:br/>
              <w:t>造成财产损失20万元以上，50万元（不含）以内的；</w:t>
              <w:br/>
              <w:t>六、造成后果严重：</w:t>
              <w:br/>
              <w:t>造成人身伤害或者财产损失50万元以上的。</w:t>
            </w:r>
          </w:p>
        </w:tc>
        <w:tc>
          <w:tcPr>
            <w:tcW w:w="3473" w:type="dxa"/>
          </w:tcPr>
          <w:p>
            <w:pPr>
              <w:snapToGrid w:val="0"/>
              <w:rPr>
                <w:rFonts w:ascii="Times New Roman" w:eastAsia="仿宋_GB2312" w:hAnsi="Times New Roman"/>
                <w:sz w:val="24"/>
              </w:rPr>
            </w:pPr>
            <w:r>
              <w:rPr>
                <w:rFonts w:ascii="Times New Roman" w:eastAsia="仿宋_GB2312" w:hAnsi="Times New Roman" w:hint="eastAsia"/>
                <w:sz w:val="24"/>
              </w:rPr>
              <w:t>1、违法行为轻微的，责令改正，可对个人处以2千元以上4千元(不含)以下的罚款，可对单位处以1万元以上2万元(不含)以下的罚款；</w:t>
              <w:br/>
              <w:t>2、违法行为一般的，责令改正，可对个人处以4千元以上6千元(不含)以下的罚款，可对单位处以2万元以上3万元(不含)以下的罚款；</w:t>
            </w:r>
          </w:p>
          <w:p>
            <w:pPr>
              <w:snapToGrid w:val="0"/>
              <w:rPr>
                <w:rFonts w:ascii="Times New Roman" w:eastAsia="仿宋_GB2312" w:hAnsi="Times New Roman"/>
                <w:sz w:val="24"/>
              </w:rPr>
            </w:pPr>
            <w:r>
              <w:rPr>
                <w:rFonts w:ascii="Times New Roman" w:eastAsia="仿宋_GB2312" w:hAnsi="Times New Roman" w:hint="eastAsia"/>
                <w:sz w:val="24"/>
              </w:rPr>
              <w:t>3、违法行为严重的，责令改正，可对个人处以6千元以上1万元(不含)以下的罚款，可对单位处以3万元以上5万元以下的罚款。</w:t>
              <w:br/>
              <w:t>4、因拒不委托鉴定造成后果轻微的，可对个人处以1万元以上2万元(不含)以下的罚款，可对单位处以5万元以上7万元(不含)以下的罚款；</w:t>
              <w:br/>
              <w:t>5、因拒不委托鉴定造成后果一般的，可对个人处以2万元以上3万元(不含)以下的罚款，可对单位处以7万元以上10万元(不含)以下的罚款；</w:t>
              <w:br/>
              <w:t>6、因拒不委托鉴定造成后果严重的，可对个人处以3万元以上5万元(不含)以下的罚款，可对单位处以10万元以上20万元以下的罚款。</w:t>
            </w:r>
          </w:p>
        </w:tc>
      </w:tr>
      <w:tr>
        <w:trPr>
          <w:trHeight w:val="1269"/>
        </w:trPr>
        <w:tc>
          <w:tcPr>
            <w:tcW w:w="2437" w:type="dxa"/>
          </w:tcPr>
          <w:p>
            <w:pPr>
              <w:snapToGrid w:val="0"/>
              <w:rPr>
                <w:rFonts w:ascii="Times New Roman" w:eastAsia="仿宋_GB2312" w:hAnsi="Times New Roman"/>
                <w:sz w:val="24"/>
              </w:rPr>
            </w:pPr>
            <w:r>
              <w:rPr>
                <w:rFonts w:ascii="Times New Roman" w:eastAsia="仿宋_GB2312" w:hAnsi="Times New Roman" w:hint="eastAsia"/>
                <w:sz w:val="24"/>
              </w:rPr>
              <w:t>对建设单位未向买受人提供建筑幕墙使用维护说明书的处罚</w:t>
            </w:r>
          </w:p>
        </w:tc>
        <w:tc>
          <w:tcPr>
            <w:tcW w:w="3233"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地方性法规《南京市房屋使用安全管理条例》第六十八条建设单位违反本条例第四十六条规定，未向买受人提供建筑幕墙使用维护说明书的，由房屋安全行政主管部门责令限期改正，并可处以三万元以上五万元以下罚款。</w:t>
            </w:r>
          </w:p>
        </w:tc>
        <w:tc>
          <w:tcPr>
            <w:tcW w:w="5031"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一、违法行为轻微：提供的建筑幕墙使用维护说明书内容不全，且未造成严重后果的；二、违法行为一般：提供的建筑幕墙使用维护说明书内容不全造成严重后果，或者未提供建筑幕墙使用维护说明书但未造成后果的；三、违法行为严重：未提供建筑幕墙使用维护说明书造成严重后果的。</w:t>
            </w:r>
          </w:p>
        </w:tc>
        <w:tc>
          <w:tcPr>
            <w:tcW w:w="3473" w:type="dxa"/>
          </w:tcPr>
          <w:p>
            <w:pPr>
              <w:snapToGrid w:val="0"/>
              <w:rPr>
                <w:rFonts w:ascii="Times New Roman" w:eastAsia="仿宋_GB2312" w:hAnsi="Times New Roman"/>
                <w:sz w:val="24"/>
              </w:rPr>
            </w:pPr>
            <w:r>
              <w:rPr>
                <w:rFonts w:ascii="Times New Roman" w:eastAsia="仿宋_GB2312" w:hAnsi="Times New Roman" w:hint="eastAsia"/>
                <w:sz w:val="24"/>
              </w:rPr>
              <w:t>1、违法行为轻微的，责令改正，可处以3万元以上3万5千元(不含)以下的罚款；</w:t>
              <w:br/>
              <w:t>2、违法行为一般的，责令改正，可处以3万5千元以上4万元(不含)以下的罚款；</w:t>
            </w:r>
          </w:p>
          <w:p>
            <w:pPr>
              <w:snapToGrid w:val="0"/>
              <w:rPr>
                <w:rFonts w:ascii="Times New Roman" w:eastAsia="仿宋_GB2312" w:hAnsi="Times New Roman"/>
                <w:sz w:val="24"/>
              </w:rPr>
            </w:pPr>
            <w:r>
              <w:rPr>
                <w:rFonts w:ascii="Times New Roman" w:eastAsia="仿宋_GB2312" w:hAnsi="Times New Roman" w:hint="eastAsia"/>
                <w:sz w:val="24"/>
              </w:rPr>
              <w:t>3、违法行为严重的，责令改正，可处以4万元以上5万元以下的罚款。</w:t>
            </w:r>
          </w:p>
        </w:tc>
      </w:tr>
      <w:tr>
        <w:trPr>
          <w:trHeight w:val="1694"/>
        </w:trPr>
        <w:tc>
          <w:tcPr>
            <w:tcW w:w="2437" w:type="dxa"/>
          </w:tcPr>
          <w:p>
            <w:pPr>
              <w:snapToGrid w:val="0"/>
              <w:rPr>
                <w:rFonts w:ascii="Times New Roman" w:eastAsia="仿宋_GB2312" w:hAnsi="Times New Roman"/>
                <w:sz w:val="24"/>
              </w:rPr>
            </w:pPr>
            <w:r>
              <w:rPr>
                <w:rFonts w:ascii="Times New Roman" w:eastAsia="仿宋_GB2312" w:hAnsi="Times New Roman" w:hint="eastAsia"/>
                <w:sz w:val="24"/>
              </w:rPr>
              <w:t>对房屋使用安全责任人拒绝或者拖延履行危险房屋治理责任的处罚</w:t>
            </w:r>
          </w:p>
        </w:tc>
        <w:tc>
          <w:tcPr>
            <w:tcW w:w="3233"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地方性法规《南京市房屋使用安全管理条例》第六十五条　房屋使用安全责任人违反本条例第二十七条第三款规定，拒绝或者拖延履行危险房屋治理责任的，由区房屋安全行政主管部门责令限期治理；逾期仍不治理的，可对个人处以五千元以上三万元以下罚款，对单位处以三万元以上十万元以下罚款。</w:t>
            </w:r>
          </w:p>
        </w:tc>
        <w:tc>
          <w:tcPr>
            <w:tcW w:w="5031"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一、违法行为轻微：</w:t>
              <w:br/>
              <w:t>逾期3个工作日以内仍未治理危房的；</w:t>
              <w:br/>
              <w:t>二、违法行为一般：</w:t>
              <w:br/>
              <w:t>逾期3个工作日（不含）以上，5个工作日以内仍未治理危房的；</w:t>
              <w:br/>
              <w:t>三、违法行为严重：</w:t>
              <w:br/>
              <w:t>逾期超过5个工作日仍未治理危房的。</w:t>
            </w:r>
          </w:p>
        </w:tc>
        <w:tc>
          <w:tcPr>
            <w:tcW w:w="3473" w:type="dxa"/>
          </w:tcPr>
          <w:p>
            <w:pPr>
              <w:snapToGrid w:val="0"/>
              <w:rPr>
                <w:rFonts w:ascii="Times New Roman" w:eastAsia="仿宋_GB2312" w:hAnsi="Times New Roman"/>
                <w:sz w:val="24"/>
              </w:rPr>
            </w:pPr>
            <w:r>
              <w:rPr>
                <w:rFonts w:ascii="Times New Roman" w:eastAsia="仿宋_GB2312" w:hAnsi="Times New Roman" w:hint="eastAsia"/>
                <w:sz w:val="24"/>
              </w:rPr>
              <w:t>1、违法行为轻微的，责令改正，可对个人处以5千元以上1万元（不含）以下的罚款；可对单位处以3万元以上5万元（不含）以下的罚款；</w:t>
              <w:br/>
              <w:t>2、违法行为一般的，责令改正，可对个人处以1万元以上2万元（不含）以下的罚款；可对单位处以5万元以上7万元（不含）以下的罚款；</w:t>
            </w:r>
          </w:p>
          <w:p>
            <w:pPr>
              <w:snapToGrid w:val="0"/>
              <w:rPr>
                <w:rFonts w:ascii="Times New Roman" w:eastAsia="仿宋_GB2312" w:hAnsi="Times New Roman"/>
                <w:sz w:val="24"/>
              </w:rPr>
            </w:pPr>
            <w:r>
              <w:rPr>
                <w:rFonts w:ascii="Times New Roman" w:eastAsia="仿宋_GB2312" w:hAnsi="Times New Roman" w:hint="eastAsia"/>
                <w:sz w:val="24"/>
              </w:rPr>
              <w:t>3、违法行为严重的，责令改正，可对个人可处以2万元以上3万元以下的罚款；可对单位处以7万元以上10万元以下的罚款。</w:t>
            </w:r>
          </w:p>
        </w:tc>
      </w:tr>
      <w:tr>
        <w:trPr>
          <w:trHeight w:val="3705"/>
        </w:trPr>
        <w:tc>
          <w:tcPr>
            <w:tcW w:w="2437" w:type="dxa"/>
          </w:tcPr>
          <w:p>
            <w:pPr>
              <w:snapToGrid w:val="0"/>
              <w:rPr>
                <w:rFonts w:ascii="Times New Roman" w:eastAsia="仿宋_GB2312" w:hAnsi="Times New Roman"/>
                <w:sz w:val="24"/>
              </w:rPr>
            </w:pPr>
            <w:r>
              <w:rPr>
                <w:rFonts w:ascii="Times New Roman" w:eastAsia="仿宋_GB2312" w:hAnsi="Times New Roman" w:hint="eastAsia"/>
                <w:sz w:val="24"/>
              </w:rPr>
              <w:t>对阻挠实施危险房屋应急抢险措施的处罚</w:t>
            </w:r>
          </w:p>
        </w:tc>
        <w:tc>
          <w:tcPr>
            <w:tcW w:w="3233"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地方性法规《南京市房屋使用安全管理条例》第六十五条　单位或者个人违反本条例第三十三条规定，阻挠实施危险房屋应急抢险措施的，由区房屋安全行政主管部门责令改正，并可对个人处以五千元以上三万元以下罚款，对单位处以三万元以上十万元以下罚款。</w:t>
            </w:r>
          </w:p>
        </w:tc>
        <w:tc>
          <w:tcPr>
            <w:tcW w:w="5031"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一、违法行为轻微：</w:t>
              <w:br/>
              <w:t>造成工期延误1天以内，且未造成后果的；</w:t>
              <w:br/>
              <w:t>二、违法行为一般：</w:t>
              <w:br/>
              <w:t>造成工期延误1天（不含）以上2天以内，或者造成财产损失50万元以下的；</w:t>
              <w:br/>
              <w:t>三、违法行为严重：</w:t>
              <w:br/>
              <w:t>造成工期延误3天以上，或者造成财产损失超过50万元，或者造成人身伤害的。</w:t>
            </w:r>
          </w:p>
        </w:tc>
        <w:tc>
          <w:tcPr>
            <w:tcW w:w="3473" w:type="dxa"/>
          </w:tcPr>
          <w:p>
            <w:pPr>
              <w:snapToGrid w:val="0"/>
              <w:rPr>
                <w:rFonts w:ascii="Times New Roman" w:eastAsia="仿宋_GB2312" w:hAnsi="Times New Roman"/>
                <w:sz w:val="24"/>
              </w:rPr>
            </w:pPr>
            <w:r>
              <w:rPr>
                <w:rFonts w:ascii="Times New Roman" w:eastAsia="仿宋_GB2312" w:hAnsi="Times New Roman" w:hint="eastAsia"/>
                <w:sz w:val="24"/>
              </w:rPr>
              <w:t>1、违法行为轻微的，责令改正，并可对个人处以5千元以上1万元（不含）以下的罚款；对单位处以3万元以上5万元（不含）以下的罚款。</w:t>
              <w:br/>
              <w:t>2、违法行为一般的，责令改正，并可对个人处以1万元以上2万元（不含）以下的罚款；对单位处以5万元以上7万元（不含）以下的罚款。</w:t>
            </w:r>
          </w:p>
          <w:p>
            <w:pPr>
              <w:snapToGrid w:val="0"/>
              <w:rPr>
                <w:rFonts w:ascii="Times New Roman" w:eastAsia="仿宋_GB2312" w:hAnsi="Times New Roman"/>
                <w:sz w:val="24"/>
              </w:rPr>
            </w:pPr>
            <w:r>
              <w:rPr>
                <w:rFonts w:ascii="Times New Roman" w:eastAsia="仿宋_GB2312" w:hAnsi="Times New Roman" w:hint="eastAsia"/>
                <w:sz w:val="24"/>
              </w:rPr>
              <w:t>3、违法行为严重的，责令改正，并可对个人处以2万元以上3万元以下的罚款；对单位处以7万元以上10万元以下的罚款。</w:t>
            </w:r>
          </w:p>
        </w:tc>
      </w:tr>
      <w:tr>
        <w:trPr>
          <w:trHeight w:val="844"/>
        </w:trPr>
        <w:tc>
          <w:tcPr>
            <w:tcW w:w="2437" w:type="dxa"/>
          </w:tcPr>
          <w:p>
            <w:pPr>
              <w:snapToGrid w:val="0"/>
              <w:rPr>
                <w:rFonts w:ascii="Times New Roman" w:eastAsia="仿宋_GB2312" w:hAnsi="Times New Roman"/>
                <w:sz w:val="24"/>
              </w:rPr>
            </w:pPr>
            <w:r>
              <w:rPr>
                <w:rFonts w:ascii="Times New Roman" w:eastAsia="仿宋_GB2312" w:hAnsi="Times New Roman" w:hint="eastAsia"/>
                <w:sz w:val="24"/>
              </w:rPr>
              <w:t>对发生危及房屋安全情形，建设单位未采取相应治理措施排险、修复的处罚</w:t>
            </w:r>
          </w:p>
        </w:tc>
        <w:tc>
          <w:tcPr>
            <w:tcW w:w="3233"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地方性法规《南京市房屋使用安全管理条例》第六十四条第二款建设单位违反本条例第二十一条第二款规定，未采取相应治理措施的，由区房屋安全行政主管部门责令限期改正，并可处以五万元以上二十万元以下罚款。</w:t>
            </w:r>
          </w:p>
        </w:tc>
        <w:tc>
          <w:tcPr>
            <w:tcW w:w="5031"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一、违法行为轻微：</w:t>
              <w:br/>
              <w:t>发生危及房屋安全情形，一天内未采取相应治理措施的；</w:t>
              <w:br/>
              <w:t>二、违法行为一般：</w:t>
              <w:br/>
              <w:t>发生危及房屋安全情形，一天（不含）以上三天以内未采取相应治理措施的；</w:t>
              <w:br/>
              <w:t>三、违法行为严重：</w:t>
              <w:br/>
              <w:t>发生危及房屋安全情形，超过三天未采取相应治理措施的。</w:t>
            </w:r>
          </w:p>
        </w:tc>
        <w:tc>
          <w:tcPr>
            <w:tcW w:w="3473" w:type="dxa"/>
          </w:tcPr>
          <w:p>
            <w:pPr>
              <w:snapToGrid w:val="0"/>
              <w:rPr>
                <w:rFonts w:ascii="Times New Roman" w:eastAsia="仿宋_GB2312" w:hAnsi="Times New Roman"/>
                <w:sz w:val="24"/>
              </w:rPr>
            </w:pPr>
            <w:r>
              <w:rPr>
                <w:rFonts w:ascii="Times New Roman" w:eastAsia="仿宋_GB2312" w:hAnsi="Times New Roman" w:hint="eastAsia"/>
                <w:sz w:val="24"/>
              </w:rPr>
              <w:t>1、违法行为轻微的，责令改正，并可处以5万元以上10万元（不含）以下的罚款。</w:t>
              <w:br/>
              <w:t>2、违法行为一般的，责令改正，并可处以10万元以上15万元（不含）以下的罚款。</w:t>
            </w:r>
          </w:p>
          <w:p>
            <w:pPr>
              <w:snapToGrid w:val="0"/>
              <w:rPr>
                <w:rFonts w:ascii="Times New Roman" w:eastAsia="仿宋_GB2312" w:hAnsi="Times New Roman"/>
                <w:sz w:val="24"/>
              </w:rPr>
            </w:pPr>
            <w:r>
              <w:rPr>
                <w:rFonts w:ascii="Times New Roman" w:eastAsia="仿宋_GB2312" w:hAnsi="Times New Roman" w:hint="eastAsia"/>
                <w:sz w:val="24"/>
              </w:rPr>
              <w:t>3、违法行为严重的，责令改正，并可处以15万元以上20万元以下的罚款。</w:t>
            </w:r>
          </w:p>
        </w:tc>
      </w:tr>
      <w:tr>
        <w:trPr>
          <w:trHeight w:val="844"/>
        </w:trPr>
        <w:tc>
          <w:tcPr>
            <w:tcW w:w="2437" w:type="dxa"/>
          </w:tcPr>
          <w:p>
            <w:pPr>
              <w:snapToGrid w:val="0"/>
              <w:rPr>
                <w:rFonts w:ascii="Times New Roman" w:eastAsia="仿宋_GB2312" w:hAnsi="Times New Roman"/>
                <w:sz w:val="24"/>
              </w:rPr>
            </w:pPr>
            <w:r>
              <w:rPr>
                <w:rFonts w:ascii="Times New Roman" w:eastAsia="仿宋_GB2312" w:hAnsi="Times New Roman" w:hint="eastAsia"/>
                <w:sz w:val="24"/>
              </w:rPr>
              <w:t>对房屋安全鉴定单位提供虚假鉴定报告的处罚</w:t>
            </w:r>
          </w:p>
        </w:tc>
        <w:tc>
          <w:tcPr>
            <w:tcW w:w="3233"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地方性法规《南京市房屋使用安全管理条例》第六十三条　房屋安全鉴定单位违反本条例第十九条第二款规定，提供虚假鉴定报告的，由市房屋安全行政主管部门没收违法所得，并可处以五万元以上十万元以下罚款；造成经济损失的，依法承担赔偿责任；构成犯罪的，依法追究刑事责任。</w:t>
            </w:r>
          </w:p>
        </w:tc>
        <w:tc>
          <w:tcPr>
            <w:tcW w:w="5031"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一、违法行为轻微：</w:t>
              <w:br/>
              <w:t>事实描述与实际状况不符，但不影响鉴定结论的；</w:t>
              <w:br/>
              <w:t>二、违法行为一般：</w:t>
              <w:br/>
              <w:t>事实描述与实际状况大面积不符，造成鉴定结论评级与实际相差一级的；</w:t>
              <w:br/>
              <w:t>三、违法行为严重：</w:t>
              <w:br/>
              <w:t>事实描述与实际状况大面积不符，造成鉴定结论评级与实际相差两级及以上的。</w:t>
            </w:r>
          </w:p>
        </w:tc>
        <w:tc>
          <w:tcPr>
            <w:tcW w:w="3473" w:type="dxa"/>
          </w:tcPr>
          <w:p>
            <w:pPr>
              <w:snapToGrid w:val="0"/>
              <w:rPr>
                <w:rFonts w:ascii="Times New Roman" w:eastAsia="仿宋_GB2312" w:hAnsi="Times New Roman"/>
                <w:sz w:val="24"/>
              </w:rPr>
            </w:pPr>
            <w:r>
              <w:rPr>
                <w:rFonts w:ascii="Times New Roman" w:eastAsia="仿宋_GB2312" w:hAnsi="Times New Roman" w:hint="eastAsia"/>
                <w:sz w:val="24"/>
              </w:rPr>
              <w:t>1、违法行为轻微的，没收违法所得，并可处以5万元以上6万元（不含）以下的罚款。</w:t>
              <w:br/>
              <w:t>2、违法行为一般的，没收违法所得，并可处以6万元以上7万元（不含）以下的罚款。</w:t>
            </w:r>
          </w:p>
          <w:p>
            <w:pPr>
              <w:snapToGrid w:val="0"/>
              <w:rPr>
                <w:rFonts w:ascii="Times New Roman" w:eastAsia="仿宋_GB2312" w:hAnsi="Times New Roman"/>
                <w:sz w:val="24"/>
              </w:rPr>
            </w:pPr>
            <w:r>
              <w:rPr>
                <w:rFonts w:ascii="Times New Roman" w:eastAsia="仿宋_GB2312" w:hAnsi="Times New Roman" w:hint="eastAsia"/>
                <w:sz w:val="24"/>
              </w:rPr>
              <w:t>3、违法行为严重的，没收违法所得，并可处以7万元以上10万元以下的罚款。</w:t>
            </w:r>
          </w:p>
        </w:tc>
      </w:tr>
      <w:tr>
        <w:trPr>
          <w:trHeight w:val="3105"/>
        </w:trPr>
        <w:tc>
          <w:tcPr>
            <w:tcW w:w="2437" w:type="dxa"/>
          </w:tcPr>
          <w:p>
            <w:pPr>
              <w:snapToGrid w:val="0"/>
              <w:rPr>
                <w:rFonts w:ascii="Times New Roman" w:eastAsia="仿宋_GB2312" w:hAnsi="Times New Roman"/>
                <w:sz w:val="24"/>
              </w:rPr>
            </w:pPr>
            <w:r>
              <w:rPr>
                <w:rFonts w:ascii="Times New Roman" w:eastAsia="仿宋_GB2312" w:hAnsi="Times New Roman" w:hint="eastAsia"/>
                <w:sz w:val="24"/>
              </w:rPr>
              <w:t>对建设单位未向白蚁防治管理机构申请办理白蚁预防服务的处罚</w:t>
            </w:r>
          </w:p>
        </w:tc>
        <w:tc>
          <w:tcPr>
            <w:tcW w:w="3233"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地方性法规《南京市房屋使用安全管理条例》第六十六条第一款　建设单位违反本条例第三十六条规定，未向白蚁防治管理机构申请办理白蚁预防服务的，由房屋安全行政主管部门责令停止施工，采取补救措施，并可处以一万元以上五万元以下罚款；行为严重的，可处以五万元以上二十万元以下罚款。</w:t>
            </w:r>
          </w:p>
        </w:tc>
        <w:tc>
          <w:tcPr>
            <w:tcW w:w="5031"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一、违法行为轻微：</w:t>
              <w:br/>
              <w:t>未及时申办白蚁预防服务，但能采取补救措施，不妨碍后期白蚁预防施工，不影响白蚁预防效果的；</w:t>
              <w:br/>
              <w:t>二、违法行为一般：</w:t>
              <w:br/>
              <w:t>未及时申办白蚁预防服务，对后期白蚁预防施工造成一定妨碍，但能采取补救措施，对白蚁防治效果未构成严重影响的；</w:t>
              <w:br/>
              <w:t>三、违法行为严重：</w:t>
              <w:br/>
              <w:t>未及时申办白蚁预防服务，后期白蚁预防工作已无法正常施工，对白蚁预防效果造成严重影响的。</w:t>
            </w:r>
          </w:p>
        </w:tc>
        <w:tc>
          <w:tcPr>
            <w:tcW w:w="3473" w:type="dxa"/>
          </w:tcPr>
          <w:p>
            <w:pPr>
              <w:snapToGrid w:val="0"/>
              <w:rPr>
                <w:rFonts w:ascii="Times New Roman" w:eastAsia="仿宋_GB2312" w:hAnsi="Times New Roman"/>
                <w:sz w:val="24"/>
              </w:rPr>
            </w:pPr>
            <w:r>
              <w:rPr>
                <w:rFonts w:ascii="Times New Roman" w:eastAsia="仿宋_GB2312" w:hAnsi="Times New Roman" w:hint="eastAsia"/>
                <w:sz w:val="24"/>
              </w:rPr>
              <w:t>1、违法行为轻微的，责令改正，并可处以1万元以上3万(不含)以下的罚款；</w:t>
              <w:br/>
              <w:t>2、违法行为一般的，责令改正，并可处以3万元以上5万元以下的罚款；</w:t>
            </w:r>
          </w:p>
          <w:p>
            <w:pPr>
              <w:snapToGrid w:val="0"/>
              <w:rPr>
                <w:rFonts w:ascii="Times New Roman" w:eastAsia="仿宋_GB2312" w:hAnsi="Times New Roman"/>
                <w:sz w:val="24"/>
              </w:rPr>
            </w:pPr>
            <w:r>
              <w:rPr>
                <w:rFonts w:ascii="Times New Roman" w:eastAsia="仿宋_GB2312" w:hAnsi="Times New Roman" w:hint="eastAsia"/>
                <w:sz w:val="24"/>
              </w:rPr>
              <w:t>3、违法行为严重的，责令改正，并可处以5万元以上20万元以下的罚款。</w:t>
            </w:r>
          </w:p>
        </w:tc>
      </w:tr>
      <w:tr>
        <w:trPr>
          <w:trHeight w:val="1269"/>
        </w:trPr>
        <w:tc>
          <w:tcPr>
            <w:tcW w:w="2437" w:type="dxa"/>
          </w:tcPr>
          <w:p>
            <w:pPr>
              <w:snapToGrid w:val="0"/>
              <w:rPr>
                <w:rFonts w:ascii="Times New Roman" w:eastAsia="仿宋_GB2312" w:hAnsi="Times New Roman"/>
                <w:sz w:val="24"/>
              </w:rPr>
            </w:pPr>
            <w:r>
              <w:rPr>
                <w:rFonts w:ascii="Times New Roman" w:eastAsia="仿宋_GB2312" w:hAnsi="Times New Roman" w:hint="eastAsia"/>
                <w:sz w:val="24"/>
              </w:rPr>
              <w:t>对建设单位未向不动产登记行政主管部门出具房屋白蚁预防证明文件的处罚</w:t>
            </w:r>
          </w:p>
        </w:tc>
        <w:tc>
          <w:tcPr>
            <w:tcW w:w="3233"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地方性法规《南京市房屋使用安全管理条例》第六十六条第二款建设单位违反本条例第四十条规定，办理房屋所有权首次登记时，未向不动产登记行政主管部门出具房屋白蚁预防证明文件的，由房屋安全行政主管部门责令限期改正，并可处以三万元以上五万元以下罚款。</w:t>
            </w:r>
          </w:p>
        </w:tc>
        <w:tc>
          <w:tcPr>
            <w:tcW w:w="5031"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一、违法行为轻微：</w:t>
              <w:br/>
              <w:t>已取得房屋白蚁防治预防证明，但在办理首次登记时未向不动产登记行政主管部门出具该证明的；</w:t>
              <w:br/>
              <w:t>二、违法行为一般：</w:t>
              <w:br/>
              <w:t>已申办白蚁预防服务，但尚未取得房屋白蚁预防证明文件，办理首次登记时未能向不动产登记行政主管部门出具的；</w:t>
              <w:br/>
              <w:t>三、违法行为严重：</w:t>
              <w:br/>
              <w:t>未申办白蚁预防服务，办理首次登记的。</w:t>
            </w:r>
          </w:p>
        </w:tc>
        <w:tc>
          <w:tcPr>
            <w:tcW w:w="3473" w:type="dxa"/>
          </w:tcPr>
          <w:p>
            <w:pPr>
              <w:snapToGrid w:val="0"/>
              <w:rPr>
                <w:rFonts w:ascii="Times New Roman" w:eastAsia="仿宋_GB2312" w:hAnsi="Times New Roman"/>
                <w:sz w:val="24"/>
              </w:rPr>
            </w:pPr>
            <w:r>
              <w:rPr>
                <w:rFonts w:ascii="Times New Roman" w:eastAsia="仿宋_GB2312" w:hAnsi="Times New Roman" w:hint="eastAsia"/>
                <w:sz w:val="24"/>
              </w:rPr>
              <w:t>1、违法行为轻微的，责令改正，并可处以3万元以上3万5千元(不含)以下的罚款；</w:t>
              <w:br/>
              <w:t>2、违法行为一般的，责令改正，并可处以3万5千元以上4万元(不含)以下的罚款；</w:t>
            </w:r>
          </w:p>
          <w:p>
            <w:pPr>
              <w:snapToGrid w:val="0"/>
              <w:rPr>
                <w:rFonts w:ascii="Times New Roman" w:eastAsia="仿宋_GB2312" w:hAnsi="Times New Roman"/>
                <w:sz w:val="24"/>
              </w:rPr>
            </w:pPr>
            <w:r>
              <w:rPr>
                <w:rFonts w:ascii="Times New Roman" w:eastAsia="仿宋_GB2312" w:hAnsi="Times New Roman" w:hint="eastAsia"/>
                <w:sz w:val="24"/>
              </w:rPr>
              <w:t>3、违法行为严重的，责令改正，并可处以4万元以上5万元以下的罚款。</w:t>
            </w:r>
          </w:p>
        </w:tc>
      </w:tr>
      <w:tr>
        <w:trPr>
          <w:trHeight w:val="3405"/>
        </w:trPr>
        <w:tc>
          <w:tcPr>
            <w:tcW w:w="2437" w:type="dxa"/>
          </w:tcPr>
          <w:p>
            <w:pPr>
              <w:snapToGrid w:val="0"/>
              <w:rPr>
                <w:rFonts w:ascii="Times New Roman" w:eastAsia="仿宋_GB2312" w:hAnsi="Times New Roman"/>
                <w:sz w:val="24"/>
              </w:rPr>
            </w:pPr>
            <w:r>
              <w:rPr>
                <w:rFonts w:ascii="Times New Roman" w:eastAsia="仿宋_GB2312" w:hAnsi="Times New Roman" w:hint="eastAsia"/>
                <w:sz w:val="24"/>
              </w:rPr>
              <w:t>对白蚁防治单位未使用国家规定的药物或者未按照规定程序进行防治的处罚</w:t>
            </w:r>
          </w:p>
        </w:tc>
        <w:tc>
          <w:tcPr>
            <w:tcW w:w="3233"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地方性法规《南京市房屋使用安全管理条例》第六十七条白蚁防治单位违反本条例第三十八条规定，未使用国家规定的药物或者未按照规定程序进行防治的，由房屋安全行政主管部门处以五千元以上三万元以下罚款；行为严重的，处以三万元以上十万元以下罚款。</w:t>
            </w:r>
          </w:p>
        </w:tc>
        <w:tc>
          <w:tcPr>
            <w:tcW w:w="5031" w:type="dxa"/>
            <w:tcBorders>
              <w:top w:val="single" w:sz="4" w:space="0" w:color="auto"/>
              <w:left w:val="single" w:sz="4" w:space="0" w:color="auto"/>
              <w:right w:val="single" w:sz="4" w:space="0" w:color="auto"/>
            </w:tcBorders>
          </w:tcPr>
          <w:p>
            <w:pPr>
              <w:snapToGrid w:val="0"/>
              <w:rPr>
                <w:rFonts w:ascii="Times New Roman" w:eastAsia="仿宋_GB2312" w:hAnsi="Times New Roman"/>
                <w:sz w:val="24"/>
              </w:rPr>
            </w:pPr>
            <w:r>
              <w:rPr>
                <w:rFonts w:ascii="Times New Roman" w:eastAsia="仿宋_GB2312" w:hAnsi="Times New Roman" w:hint="eastAsia"/>
                <w:sz w:val="24"/>
              </w:rPr>
              <w:t>一、违法行为轻微：</w:t>
              <w:br/>
              <w:t>存有标签、喷码等要素信息不清晰、不全、涂改或损毁的药物，或者未按规定要求保管药物，或者未按规定程序进行防治但未造成后果的；</w:t>
              <w:br/>
              <w:t>二、违法行为一般：</w:t>
              <w:br/>
              <w:t>存有未在中国农药信息网登记的药物，或者未按规定程序进行防治但未造成严重后果的；</w:t>
              <w:br/>
              <w:t>三、违法行为严重：</w:t>
              <w:br/>
              <w:t>使用未在中国农药信息网登记的药物，或未按规定程序进行防治造成严重后果的。</w:t>
            </w:r>
          </w:p>
        </w:tc>
        <w:tc>
          <w:tcPr>
            <w:tcW w:w="3473" w:type="dxa"/>
          </w:tcPr>
          <w:p>
            <w:pPr>
              <w:snapToGrid w:val="0"/>
              <w:rPr>
                <w:rFonts w:ascii="Times New Roman" w:eastAsia="仿宋_GB2312" w:hAnsi="Times New Roman"/>
                <w:sz w:val="24"/>
              </w:rPr>
            </w:pPr>
            <w:r>
              <w:rPr>
                <w:rFonts w:ascii="Times New Roman" w:eastAsia="仿宋_GB2312" w:hAnsi="Times New Roman" w:hint="eastAsia"/>
                <w:sz w:val="24"/>
              </w:rPr>
              <w:t>1、违法行为轻微的，责令改正，处以5千元以上2万(不含)以下的罚款；</w:t>
              <w:br/>
              <w:t>2、违法行为一般的，责令改正，处以2万元以上3万元以下的罚款；</w:t>
            </w:r>
          </w:p>
          <w:p>
            <w:pPr>
              <w:snapToGrid w:val="0"/>
              <w:rPr>
                <w:rFonts w:ascii="Times New Roman" w:eastAsia="仿宋_GB2312" w:hAnsi="Times New Roman"/>
                <w:sz w:val="24"/>
              </w:rPr>
            </w:pPr>
            <w:r>
              <w:rPr>
                <w:rFonts w:ascii="Times New Roman" w:eastAsia="仿宋_GB2312" w:hAnsi="Times New Roman" w:hint="eastAsia"/>
                <w:sz w:val="24"/>
              </w:rPr>
              <w:t>3、违法行为严重的，责令改正，处以3万元以上10万元以下的罚款。</w:t>
            </w:r>
          </w:p>
        </w:tc>
      </w:tr>
    </w:tbl>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widowControl/>
        <w:jc w:val="left"/>
        <w:rPr>
          <w:rFonts w:ascii="黑体" w:eastAsia="黑体" w:hAnsi="黑体"/>
        </w:rPr>
      </w:pPr>
      <w:r>
        <w:rPr>
          <w:rFonts w:ascii="黑体" w:eastAsia="黑体" w:hAnsi="黑体"/>
        </w:rPr>
        <w:br w:type="page"/>
      </w:r>
    </w:p>
    <w:p>
      <w:pPr>
        <w:jc w:val="center"/>
        <w:rPr>
          <w:rFonts w:ascii="黑体" w:eastAsia="黑体" w:hAnsi="黑体"/>
        </w:rPr>
        <w:sectPr>
          <w:pgSz w:w="16838" w:h="11906" w:orient="landscape"/>
          <w:pgMar w:top="1797" w:right="1440" w:bottom="1797" w:left="1440" w:header="851" w:footer="992" w:gutter="0"/>
          <w:pgNumType/>
          <w:cols w:num="1" w:space="425"/>
          <w:docGrid w:type="linesAndChars" w:linePitch="312" w:charSpace="0"/>
        </w:sectPr>
      </w:pPr>
    </w:p>
    <w:p>
      <w:pPr>
        <w:spacing w:line="600" w:lineRule="exact"/>
        <w:jc w:val="center"/>
        <w:rPr>
          <w:rFonts w:ascii="Times New Roman" w:eastAsia="方正小标宋_GBK" w:hAnsi="Times New Roman"/>
          <w:bCs/>
          <w:sz w:val="44"/>
          <w:szCs w:val="44"/>
        </w:rPr>
      </w:pPr>
      <w:r>
        <w:rPr>
          <w:rFonts w:ascii="Times New Roman" w:eastAsia="方正小标宋_GBK" w:hAnsi="Times New Roman" w:hint="eastAsia"/>
          <w:bCs/>
          <w:sz w:val="44"/>
          <w:szCs w:val="44"/>
        </w:rPr>
        <w:t>关于印发《南京市住房租赁企业租赁资金银行监管实施细则》的通知</w:t>
      </w:r>
    </w:p>
    <w:p>
      <w:pPr>
        <w:jc w:val="center"/>
        <w:rPr>
          <w:rFonts w:ascii="仿宋_GB2312" w:eastAsia="仿宋_GB2312" w:cs="仿宋_GB2312" w:hAnsi="仿宋_GB2312" w:hint="eastAsia"/>
          <w:sz w:val="32"/>
          <w:szCs w:val="32"/>
        </w:rPr>
      </w:pPr>
      <w:r>
        <w:rPr>
          <w:rFonts w:ascii="仿宋_GB2312" w:eastAsia="仿宋_GB2312" w:cs="仿宋_GB2312" w:hAnsi="仿宋_GB2312" w:hint="eastAsia"/>
          <w:sz w:val="32"/>
          <w:szCs w:val="32"/>
        </w:rPr>
        <w:t>宁房规字〔2021〕1号</w:t>
      </w:r>
    </w:p>
    <w:p>
      <w:pPr>
        <w:spacing w:line="500" w:lineRule="exact"/>
        <w:rPr>
          <w:rFonts w:ascii="Times New Roman" w:eastAsia="方正仿宋_GBK" w:hAnsi="Times New Roman" w:hint="eastAsia"/>
          <w:bCs/>
          <w:sz w:val="32"/>
          <w:szCs w:val="32"/>
        </w:rPr>
      </w:pPr>
    </w:p>
    <w:p>
      <w:pPr>
        <w:spacing w:line="500" w:lineRule="exact"/>
        <w:rPr>
          <w:rFonts w:ascii="仿宋" w:eastAsia="仿宋" w:cs="仿宋" w:hAnsi="仿宋" w:hint="eastAsia"/>
          <w:bCs/>
          <w:sz w:val="32"/>
          <w:szCs w:val="32"/>
        </w:rPr>
      </w:pPr>
      <w:r>
        <w:rPr>
          <w:rFonts w:ascii="仿宋" w:eastAsia="仿宋" w:cs="仿宋" w:hAnsi="仿宋" w:hint="eastAsia"/>
          <w:bCs/>
          <w:sz w:val="32"/>
          <w:szCs w:val="32"/>
        </w:rPr>
        <w:t>江北新区建交局、各区房产（住建）局，各相关单位：</w:t>
      </w:r>
    </w:p>
    <w:p>
      <w:pPr>
        <w:spacing w:line="500" w:lineRule="exact"/>
        <w:ind w:firstLineChars="200" w:firstLine="640"/>
        <w:rPr>
          <w:rFonts w:ascii="仿宋" w:eastAsia="仿宋" w:cs="仿宋" w:hAnsi="仿宋" w:hint="eastAsia"/>
          <w:bCs/>
          <w:sz w:val="32"/>
          <w:szCs w:val="32"/>
        </w:rPr>
      </w:pPr>
      <w:r>
        <w:rPr>
          <w:rFonts w:ascii="仿宋" w:eastAsia="仿宋" w:cs="仿宋" w:hAnsi="仿宋" w:hint="eastAsia"/>
          <w:bCs/>
          <w:sz w:val="32"/>
          <w:szCs w:val="32"/>
        </w:rPr>
        <w:t>现将《南京市住房租赁企业租赁资金银行监管实施细则》印发给你们，请认真遵照执行。</w:t>
      </w:r>
    </w:p>
    <w:p>
      <w:pPr>
        <w:spacing w:line="500" w:lineRule="exact"/>
        <w:rPr>
          <w:rFonts w:ascii="仿宋" w:eastAsia="仿宋" w:cs="仿宋" w:hAnsi="仿宋" w:hint="eastAsia"/>
          <w:bCs/>
          <w:sz w:val="32"/>
          <w:szCs w:val="32"/>
        </w:rPr>
      </w:pPr>
    </w:p>
    <w:p>
      <w:pPr>
        <w:spacing w:line="500" w:lineRule="exact"/>
        <w:rPr>
          <w:rFonts w:ascii="仿宋" w:eastAsia="仿宋" w:cs="仿宋" w:hAnsi="仿宋" w:hint="eastAsia"/>
          <w:bCs/>
          <w:sz w:val="32"/>
          <w:szCs w:val="32"/>
        </w:rPr>
      </w:pPr>
    </w:p>
    <w:p>
      <w:pPr>
        <w:spacing w:line="500" w:lineRule="exact"/>
        <w:rPr>
          <w:rFonts w:ascii="仿宋" w:eastAsia="仿宋" w:cs="仿宋" w:hAnsi="仿宋" w:hint="eastAsia"/>
          <w:bCs/>
          <w:sz w:val="32"/>
          <w:szCs w:val="32"/>
        </w:rPr>
      </w:pPr>
    </w:p>
    <w:p>
      <w:pPr>
        <w:ind w:rightChars="-95" w:right="-199"/>
        <w:jc w:val="left"/>
        <w:rPr>
          <w:rFonts w:ascii="仿宋_GB2312" w:eastAsia="仿宋_GB2312" w:cs="仿宋_GB2312" w:hAnsi="仿宋_GB2312" w:hint="eastAsia"/>
          <w:bCs/>
          <w:spacing w:val="-20"/>
          <w:w w:val="80"/>
          <w:sz w:val="32"/>
          <w:szCs w:val="32"/>
        </w:rPr>
      </w:pPr>
      <w:r>
        <w:rPr>
          <w:rFonts w:ascii="仿宋_GB2312" w:eastAsia="仿宋_GB2312" w:cs="仿宋_GB2312" w:hAnsi="仿宋_GB2312" w:hint="eastAsia"/>
          <w:bCs/>
          <w:spacing w:val="-20"/>
          <w:w w:val="80"/>
          <w:sz w:val="32"/>
          <w:szCs w:val="32"/>
        </w:rPr>
        <w:t>南京市住房保障和房产局中国银保监会江苏监管局中国人民银行南京分行营业管理部</w:t>
      </w:r>
    </w:p>
    <w:p>
      <w:pPr>
        <w:ind w:rightChars="174" w:right="365"/>
        <w:jc w:val="right"/>
        <w:rPr>
          <w:rFonts w:ascii="仿宋_GB2312" w:eastAsia="仿宋_GB2312" w:cs="仿宋_GB2312" w:hAnsi="仿宋_GB2312" w:hint="eastAsia"/>
          <w:bCs/>
          <w:sz w:val="32"/>
          <w:szCs w:val="32"/>
        </w:rPr>
      </w:pPr>
      <w:r>
        <w:rPr>
          <w:rFonts w:ascii="仿宋_GB2312" w:eastAsia="仿宋_GB2312" w:cs="仿宋_GB2312" w:hAnsi="仿宋_GB2312" w:hint="eastAsia"/>
          <w:bCs/>
          <w:sz w:val="32"/>
          <w:szCs w:val="32"/>
        </w:rPr>
        <w:t>2021年7月5日</w:t>
      </w:r>
    </w:p>
    <w:p>
      <w:pPr>
        <w:spacing w:line="480" w:lineRule="exact"/>
        <w:rPr>
          <w:rFonts w:ascii="仿宋_GB2312" w:eastAsia="仿宋_GB2312" w:cs="仿宋_GB2312" w:hAnsi="仿宋_GB2312" w:hint="eastAsia"/>
          <w:kern w:val="0"/>
          <w:sz w:val="32"/>
        </w:rPr>
        <w:sectPr>
          <w:footerReference w:type="default" r:id="rId5"/>
          <w:pgSz w:w="11906" w:h="16838"/>
          <w:pgMar w:top="2098" w:right="1588" w:bottom="1701" w:left="1588" w:header="851" w:footer="992" w:gutter="0"/>
          <w:pgNumType/>
          <w:cols w:num="1" w:space="425"/>
          <w:docGrid w:type="lines" w:linePitch="312" w:charSpace="0"/>
        </w:sectPr>
      </w:pPr>
    </w:p>
    <w:p>
      <w:pPr>
        <w:widowControl/>
        <w:spacing w:line="600" w:lineRule="exact"/>
        <w:jc w:val="center"/>
        <w:rPr>
          <w:rFonts w:ascii="方正小标宋_GBK" w:eastAsia="方正小标宋_GBK" w:hAnsi="华文中宋"/>
          <w:sz w:val="44"/>
          <w:szCs w:val="44"/>
        </w:rPr>
      </w:pPr>
      <w:r>
        <w:rPr>
          <w:rFonts w:ascii="方正小标宋_GBK" w:eastAsia="方正小标宋_GBK" w:hAnsi="华文中宋" w:hint="eastAsia"/>
          <w:sz w:val="44"/>
          <w:szCs w:val="44"/>
        </w:rPr>
        <w:t>南京市住房租赁企业租赁资金银行监管</w:t>
      </w:r>
    </w:p>
    <w:p>
      <w:pPr>
        <w:spacing w:line="600" w:lineRule="exact"/>
        <w:jc w:val="center"/>
        <w:rPr>
          <w:rFonts w:ascii="方正小标宋_GBK" w:eastAsia="方正小标宋_GBK" w:hAnsi="华文中宋"/>
          <w:sz w:val="44"/>
          <w:szCs w:val="44"/>
        </w:rPr>
      </w:pPr>
      <w:r>
        <w:rPr>
          <w:rFonts w:ascii="方正小标宋_GBK" w:eastAsia="方正小标宋_GBK" w:hAnsi="华文中宋" w:hint="eastAsia"/>
          <w:sz w:val="44"/>
          <w:szCs w:val="44"/>
        </w:rPr>
        <w:t>实施细则</w:t>
      </w:r>
    </w:p>
    <w:p>
      <w:pPr>
        <w:spacing w:line="600" w:lineRule="exact"/>
        <w:rPr>
          <w:rFonts w:ascii="楷体_GB2312" w:eastAsia="楷体_GB2312" w:hAnsi="华文中宋"/>
          <w:sz w:val="32"/>
          <w:szCs w:val="44"/>
        </w:rPr>
      </w:pPr>
    </w:p>
    <w:p>
      <w:pPr>
        <w:spacing w:line="600" w:lineRule="exact"/>
        <w:ind w:firstLineChars="200" w:firstLine="640"/>
        <w:rPr>
          <w:rFonts w:ascii="仿宋_GB2312" w:eastAsia="仿宋_GB2312"/>
          <w:sz w:val="32"/>
        </w:rPr>
      </w:pPr>
      <w:r>
        <w:rPr>
          <w:rFonts w:ascii="黑体" w:eastAsia="黑体" w:hAnsi="黑体" w:hint="eastAsia"/>
          <w:sz w:val="32"/>
          <w:szCs w:val="20"/>
        </w:rPr>
        <w:t>第</w:t>
      </w:r>
      <w:r>
        <w:rPr>
          <w:rFonts w:ascii="黑体" w:eastAsia="黑体" w:hAnsi="黑体"/>
          <w:sz w:val="32"/>
        </w:rPr>
        <w:t>一</w:t>
      </w:r>
      <w:r>
        <w:rPr>
          <w:rFonts w:ascii="黑体" w:eastAsia="黑体" w:hAnsi="黑体" w:hint="eastAsia"/>
          <w:sz w:val="32"/>
        </w:rPr>
        <w:t>条</w:t>
      </w:r>
      <w:r>
        <w:rPr>
          <w:rFonts w:ascii="仿宋_GB2312" w:eastAsia="仿宋_GB2312" w:hint="eastAsia"/>
          <w:sz w:val="32"/>
        </w:rPr>
        <w:t xml:space="preserve"> 为规范住房租赁企业租赁资金收付行为，保障租赁当事人合法权益，</w:t>
      </w:r>
      <w:r>
        <w:rPr>
          <w:rFonts w:ascii="仿宋_GB2312" w:eastAsia="仿宋_GB2312"/>
          <w:sz w:val="32"/>
        </w:rPr>
        <w:t>根据</w:t>
      </w:r>
      <w:r>
        <w:rPr>
          <w:rFonts w:ascii="仿宋_GB2312" w:eastAsia="仿宋_GB2312" w:hint="eastAsia"/>
          <w:sz w:val="32"/>
        </w:rPr>
        <w:t>《住房和城乡建设部 国家发展改革委 公安部 市场监管总局 银保监会 国家网信办关于整顿规范住房租赁市场秩序的意见》《住房和城乡建设部等部门关于加强轻资产住房租赁企业监管的意见》等文件精神，结合我市实际，</w:t>
      </w:r>
      <w:r>
        <w:rPr>
          <w:rFonts w:ascii="仿宋_GB2312" w:eastAsia="仿宋_GB2312"/>
          <w:sz w:val="32"/>
        </w:rPr>
        <w:t>制定本</w:t>
      </w:r>
      <w:r>
        <w:rPr>
          <w:rFonts w:ascii="仿宋_GB2312" w:eastAsia="仿宋_GB2312" w:hint="eastAsia"/>
          <w:sz w:val="32"/>
        </w:rPr>
        <w:t>细则</w:t>
      </w:r>
      <w:r>
        <w:rPr>
          <w:rFonts w:ascii="仿宋_GB2312" w:eastAsia="仿宋_GB2312"/>
          <w:sz w:val="32"/>
        </w:rPr>
        <w:t>。</w:t>
      </w:r>
    </w:p>
    <w:p>
      <w:pPr>
        <w:spacing w:line="600" w:lineRule="exact"/>
        <w:ind w:firstLineChars="200" w:firstLine="640"/>
        <w:rPr>
          <w:rFonts w:ascii="仿宋_GB2312" w:eastAsia="仿宋_GB2312" w:hAnsi="宋体"/>
          <w:color w:val="000000"/>
          <w:kern w:val="0"/>
          <w:sz w:val="32"/>
          <w:szCs w:val="32"/>
        </w:rPr>
      </w:pPr>
      <w:r>
        <w:rPr>
          <w:rFonts w:ascii="黑体" w:eastAsia="黑体" w:hAnsi="黑体" w:hint="eastAsia"/>
          <w:sz w:val="32"/>
          <w:szCs w:val="20"/>
        </w:rPr>
        <w:t>第</w:t>
      </w:r>
      <w:r>
        <w:rPr>
          <w:rFonts w:ascii="黑体" w:eastAsia="黑体" w:hAnsi="黑体"/>
          <w:sz w:val="32"/>
          <w:szCs w:val="20"/>
        </w:rPr>
        <w:t>二</w:t>
      </w:r>
      <w:r>
        <w:rPr>
          <w:rFonts w:ascii="黑体" w:eastAsia="黑体" w:hAnsi="黑体" w:hint="eastAsia"/>
          <w:sz w:val="32"/>
          <w:szCs w:val="20"/>
        </w:rPr>
        <w:t>条</w:t>
      </w:r>
      <w:r>
        <w:rPr>
          <w:rFonts w:ascii="仿宋_GB2312" w:eastAsia="仿宋_GB2312" w:hint="eastAsia"/>
          <w:sz w:val="32"/>
        </w:rPr>
        <w:t xml:space="preserve"> 本市行政区域内,通过租赁、委托管理、与产权方运营合作等非自持方式获取住房，向承租人转租（包括对房源装修改造后转租）获得租金价差，或者以代收租金、提供租赁管理、物业管理等服务名义变相转租获取经营收益的轻资产住房租赁企业应当开展住房租赁资金监管。</w:t>
      </w:r>
    </w:p>
    <w:p>
      <w:pPr>
        <w:spacing w:line="600" w:lineRule="exact"/>
        <w:ind w:firstLineChars="200" w:firstLine="640"/>
        <w:rPr>
          <w:rFonts w:ascii="仿宋_GB2312" w:eastAsia="仿宋_GB2312"/>
          <w:sz w:val="32"/>
        </w:rPr>
      </w:pPr>
      <w:r>
        <w:rPr>
          <w:rFonts w:ascii="黑体" w:eastAsia="黑体" w:hAnsi="黑体" w:hint="eastAsia"/>
          <w:sz w:val="32"/>
          <w:szCs w:val="20"/>
        </w:rPr>
        <w:t>第三条</w:t>
      </w:r>
      <w:r>
        <w:rPr>
          <w:rFonts w:ascii="仿宋_GB2312" w:eastAsia="仿宋_GB2312" w:hint="eastAsia"/>
          <w:sz w:val="32"/>
        </w:rPr>
        <w:t xml:space="preserve"> 开展资金监管的</w:t>
      </w:r>
      <w:r>
        <w:rPr>
          <w:rFonts w:ascii="仿宋_GB2312" w:eastAsia="仿宋_GB2312" w:hAnsi="宋体" w:hint="eastAsia"/>
          <w:color w:val="000000"/>
          <w:kern w:val="0"/>
          <w:sz w:val="32"/>
          <w:szCs w:val="32"/>
        </w:rPr>
        <w:t>住房租赁企业，应通过南京市房屋租赁服务监管平台（以下简称“租赁平台”）推送开业信息。</w:t>
      </w:r>
    </w:p>
    <w:p>
      <w:pPr>
        <w:spacing w:line="600" w:lineRule="exact"/>
        <w:ind w:firstLine="600"/>
        <w:rPr>
          <w:rFonts w:ascii="仿宋_GB2312" w:eastAsia="仿宋_GB2312"/>
          <w:sz w:val="32"/>
        </w:rPr>
      </w:pPr>
      <w:r>
        <w:rPr>
          <w:rFonts w:ascii="黑体" w:eastAsia="黑体" w:hAnsi="黑体" w:hint="eastAsia"/>
          <w:sz w:val="32"/>
          <w:szCs w:val="20"/>
        </w:rPr>
        <w:t>第四条</w:t>
      </w:r>
      <w:r>
        <w:rPr>
          <w:rFonts w:ascii="仿宋_GB2312" w:eastAsia="仿宋_GB2312" w:hint="eastAsia"/>
          <w:sz w:val="32"/>
        </w:rPr>
        <w:t xml:space="preserve"> 本细则监管的租赁资金是指住房租赁企业收取或代收承租人的租金、押金和住房租赁企业自愿存缴的风险保证金。</w:t>
      </w:r>
    </w:p>
    <w:p>
      <w:pPr>
        <w:spacing w:line="600" w:lineRule="exact"/>
        <w:ind w:firstLine="600"/>
        <w:rPr>
          <w:rFonts w:ascii="仿宋_GB2312" w:eastAsia="仿宋_GB2312"/>
          <w:sz w:val="32"/>
        </w:rPr>
      </w:pPr>
      <w:r>
        <w:rPr>
          <w:rFonts w:ascii="黑体" w:eastAsia="黑体" w:hAnsi="黑体" w:hint="eastAsia"/>
          <w:sz w:val="32"/>
          <w:szCs w:val="20"/>
        </w:rPr>
        <w:t>第五条</w:t>
      </w:r>
      <w:r>
        <w:rPr>
          <w:rFonts w:ascii="仿宋_GB2312" w:eastAsia="仿宋_GB2312" w:hint="eastAsia"/>
          <w:sz w:val="32"/>
        </w:rPr>
        <w:t>开展租赁资金监管的银行业金融机构（以下简称“监管银行”）按照协议约定，在南京市住房保障和房产局（以下简称“市房产局”）、</w:t>
      </w:r>
      <w:r>
        <w:rPr>
          <w:rFonts w:ascii="Times New Roman" w:eastAsia="仿宋_GB2312" w:hAnsi="Times New Roman" w:hint="eastAsia"/>
          <w:color w:val="000000"/>
          <w:kern w:val="0"/>
          <w:sz w:val="32"/>
          <w:szCs w:val="32"/>
        </w:rPr>
        <w:t>中国银保监会江苏监管局（以下简称“江苏银保监局”）、中国人民银行南京分行营业管理部（以下简称“人行南京分行营管部”）</w:t>
      </w:r>
      <w:r>
        <w:rPr>
          <w:rFonts w:ascii="仿宋_GB2312" w:eastAsia="仿宋_GB2312" w:hint="eastAsia"/>
          <w:sz w:val="32"/>
        </w:rPr>
        <w:t>指导下，开发租赁资金银行监管系统，</w:t>
      </w:r>
      <w:r>
        <w:rPr>
          <w:rFonts w:ascii="仿宋_GB2312" w:eastAsia="仿宋_GB2312" w:hAnsi="宋体" w:hint="eastAsia"/>
          <w:color w:val="000000"/>
          <w:kern w:val="0"/>
          <w:sz w:val="32"/>
          <w:szCs w:val="32"/>
        </w:rPr>
        <w:t>通过系统对接方式，向市房产局实时推送监管账户租赁资金信息。</w:t>
      </w:r>
    </w:p>
    <w:p>
      <w:pPr>
        <w:spacing w:line="600" w:lineRule="exact"/>
        <w:ind w:firstLine="600"/>
        <w:rPr>
          <w:rFonts w:ascii="仿宋_GB2312" w:eastAsia="仿宋_GB2312" w:hAnsi="宋体"/>
          <w:color w:val="000000"/>
          <w:kern w:val="0"/>
          <w:sz w:val="32"/>
          <w:szCs w:val="32"/>
        </w:rPr>
      </w:pPr>
      <w:r>
        <w:rPr>
          <w:rFonts w:ascii="黑体" w:eastAsia="黑体" w:hAnsi="黑体" w:hint="eastAsia"/>
          <w:sz w:val="32"/>
          <w:szCs w:val="20"/>
        </w:rPr>
        <w:t>第六条</w:t>
      </w:r>
      <w:r>
        <w:rPr>
          <w:rFonts w:ascii="仿宋_GB2312" w:eastAsia="仿宋_GB2312" w:hint="eastAsia"/>
          <w:sz w:val="32"/>
        </w:rPr>
        <w:t>住房租赁企业</w:t>
      </w:r>
      <w:r>
        <w:rPr>
          <w:rFonts w:ascii="仿宋_GB2312" w:eastAsia="仿宋_GB2312" w:hAnsi="宋体" w:hint="eastAsia"/>
          <w:color w:val="000000"/>
          <w:kern w:val="0"/>
          <w:sz w:val="32"/>
          <w:szCs w:val="32"/>
        </w:rPr>
        <w:t>在监管银行设立</w:t>
      </w:r>
      <w:r>
        <w:rPr>
          <w:rFonts w:ascii="Times New Roman" w:eastAsia="仿宋_GB2312" w:hAnsi="Times New Roman" w:hint="eastAsia"/>
          <w:sz w:val="32"/>
        </w:rPr>
        <w:t>1个</w:t>
      </w:r>
      <w:r>
        <w:rPr>
          <w:rFonts w:ascii="仿宋_GB2312" w:eastAsia="仿宋_GB2312" w:hAnsi="宋体" w:hint="eastAsia"/>
          <w:color w:val="000000"/>
          <w:kern w:val="0"/>
          <w:sz w:val="32"/>
          <w:szCs w:val="32"/>
        </w:rPr>
        <w:t>住房租赁资金监管账户，</w:t>
      </w:r>
      <w:r>
        <w:rPr>
          <w:rFonts w:ascii="仿宋_GB2312" w:eastAsia="仿宋_GB2312" w:hint="eastAsia"/>
          <w:sz w:val="32"/>
        </w:rPr>
        <w:t>与监管银行签订监管协议，明确监管方式、权限、规程等事项。</w:t>
      </w:r>
      <w:r>
        <w:rPr>
          <w:rFonts w:ascii="仿宋_GB2312" w:eastAsia="仿宋_GB2312" w:hAnsi="宋体" w:hint="eastAsia"/>
          <w:color w:val="000000"/>
          <w:kern w:val="0"/>
          <w:sz w:val="32"/>
          <w:szCs w:val="32"/>
        </w:rPr>
        <w:t>监管账户设立后，住房租赁企业向区房产（住建）管理部门备案账户信息。</w:t>
      </w:r>
    </w:p>
    <w:p>
      <w:pPr>
        <w:spacing w:line="600" w:lineRule="exact"/>
        <w:ind w:firstLine="600"/>
        <w:rPr>
          <w:rFonts w:ascii="仿宋_GB2312" w:eastAsia="仿宋_GB2312"/>
          <w:sz w:val="32"/>
        </w:rPr>
      </w:pPr>
      <w:r>
        <w:rPr>
          <w:rFonts w:ascii="黑体" w:eastAsia="黑体" w:hAnsi="黑体" w:hint="eastAsia"/>
          <w:sz w:val="32"/>
          <w:szCs w:val="20"/>
        </w:rPr>
        <w:t xml:space="preserve">第七条 </w:t>
      </w:r>
      <w:r>
        <w:rPr>
          <w:rFonts w:ascii="仿宋_GB2312" w:eastAsia="仿宋_GB2312" w:hint="eastAsia"/>
          <w:sz w:val="32"/>
        </w:rPr>
        <w:t>市房产局</w:t>
      </w:r>
      <w:r>
        <w:rPr>
          <w:rFonts w:ascii="仿宋_GB2312" w:eastAsia="仿宋_GB2312"/>
          <w:sz w:val="32"/>
        </w:rPr>
        <w:t>通过</w:t>
      </w:r>
      <w:r>
        <w:rPr>
          <w:rFonts w:ascii="仿宋_GB2312" w:eastAsia="仿宋_GB2312" w:hint="eastAsia"/>
          <w:sz w:val="32"/>
        </w:rPr>
        <w:t>其网站公布开展</w:t>
      </w:r>
      <w:r>
        <w:rPr>
          <w:rFonts w:ascii="仿宋_GB2312" w:eastAsia="仿宋_GB2312"/>
          <w:sz w:val="32"/>
        </w:rPr>
        <w:t>租赁资金监管业务的银行和</w:t>
      </w:r>
      <w:r>
        <w:rPr>
          <w:rFonts w:ascii="仿宋_GB2312" w:eastAsia="仿宋_GB2312" w:hint="eastAsia"/>
          <w:sz w:val="32"/>
        </w:rPr>
        <w:t>已开展租赁资金监管业务</w:t>
      </w:r>
      <w:r>
        <w:rPr>
          <w:rFonts w:ascii="仿宋_GB2312" w:eastAsia="仿宋_GB2312"/>
          <w:sz w:val="32"/>
        </w:rPr>
        <w:t>的住房租赁企业名单</w:t>
      </w:r>
      <w:r>
        <w:rPr>
          <w:rFonts w:ascii="仿宋_GB2312" w:eastAsia="仿宋_GB2312" w:hint="eastAsia"/>
          <w:sz w:val="32"/>
        </w:rPr>
        <w:t>，接受社会监督。</w:t>
      </w:r>
    </w:p>
    <w:p>
      <w:pPr>
        <w:spacing w:line="600" w:lineRule="exact"/>
        <w:ind w:firstLine="600"/>
        <w:rPr>
          <w:rFonts w:ascii="仿宋_GB2312" w:eastAsia="仿宋_GB2312" w:hAnsi="宋体"/>
          <w:color w:val="000000"/>
          <w:kern w:val="0"/>
          <w:sz w:val="32"/>
          <w:szCs w:val="32"/>
        </w:rPr>
      </w:pPr>
      <w:r>
        <w:rPr>
          <w:rFonts w:ascii="黑体" w:eastAsia="黑体" w:hAnsi="黑体" w:hint="eastAsia"/>
          <w:sz w:val="32"/>
          <w:szCs w:val="20"/>
        </w:rPr>
        <w:t>第八条</w:t>
      </w:r>
      <w:r>
        <w:rPr>
          <w:rFonts w:ascii="仿宋_GB2312" w:eastAsia="仿宋_GB2312" w:hAnsi="宋体" w:hint="eastAsia"/>
          <w:color w:val="000000"/>
          <w:kern w:val="0"/>
          <w:sz w:val="32"/>
          <w:szCs w:val="32"/>
        </w:rPr>
        <w:t>住房租赁企业发布房源信息时，应当同时发布住房租赁资金监管账户信息，</w:t>
      </w:r>
      <w:r>
        <w:rPr>
          <w:rFonts w:ascii="仿宋_GB2312" w:eastAsia="仿宋_GB2312" w:hint="eastAsia"/>
          <w:sz w:val="32"/>
        </w:rPr>
        <w:t>并在经营场所中明示资金监管账户信息和资金监管风险警示内容，主动配合区房产（住建）管理部门的日常监督检查。</w:t>
      </w:r>
    </w:p>
    <w:p>
      <w:pPr>
        <w:spacing w:line="600" w:lineRule="exact"/>
        <w:ind w:firstLine="600"/>
        <w:rPr>
          <w:rFonts w:ascii="仿宋_GB2312" w:eastAsia="仿宋_GB2312"/>
          <w:sz w:val="32"/>
        </w:rPr>
      </w:pPr>
      <w:r>
        <w:rPr>
          <w:rFonts w:ascii="黑体" w:eastAsia="黑体" w:hAnsi="黑体" w:hint="eastAsia"/>
          <w:sz w:val="32"/>
          <w:szCs w:val="20"/>
        </w:rPr>
        <w:t>第九条</w:t>
      </w:r>
      <w:r>
        <w:rPr>
          <w:rFonts w:ascii="仿宋_GB2312" w:eastAsia="仿宋_GB2312" w:hAnsi="宋体" w:hint="eastAsia"/>
          <w:color w:val="000000"/>
          <w:kern w:val="0"/>
          <w:sz w:val="32"/>
          <w:szCs w:val="32"/>
        </w:rPr>
        <w:t xml:space="preserve"> 住房租赁企业单次收取租金超</w:t>
      </w:r>
      <w:r>
        <w:rPr>
          <w:rFonts w:ascii="Times New Roman" w:eastAsia="仿宋_GB2312" w:hAnsi="Times New Roman" w:hint="eastAsia"/>
          <w:sz w:val="32"/>
        </w:rPr>
        <w:t>过3个月</w:t>
      </w:r>
      <w:r>
        <w:rPr>
          <w:rFonts w:ascii="仿宋_GB2312" w:eastAsia="仿宋_GB2312" w:hAnsi="宋体" w:hint="eastAsia"/>
          <w:color w:val="000000"/>
          <w:kern w:val="0"/>
          <w:sz w:val="32"/>
          <w:szCs w:val="32"/>
        </w:rPr>
        <w:t>的，或单次收取押金</w:t>
      </w:r>
      <w:r>
        <w:rPr>
          <w:rFonts w:ascii="Times New Roman" w:eastAsia="仿宋_GB2312" w:hAnsi="Times New Roman" w:hint="eastAsia"/>
          <w:sz w:val="32"/>
        </w:rPr>
        <w:t>超过1</w:t>
      </w:r>
      <w:r>
        <w:rPr>
          <w:rFonts w:ascii="仿宋_GB2312" w:eastAsia="仿宋_GB2312" w:hAnsi="宋体" w:hint="eastAsia"/>
          <w:color w:val="000000"/>
          <w:kern w:val="0"/>
          <w:sz w:val="32"/>
          <w:szCs w:val="32"/>
        </w:rPr>
        <w:t>个月的，应当将收取的租金、押金纳入监管账户，并通过监管账户向房屋权利人支付租金、向承租人退还押金。</w:t>
      </w:r>
    </w:p>
    <w:p>
      <w:pPr>
        <w:spacing w:line="600" w:lineRule="exact"/>
        <w:ind w:firstLine="600"/>
        <w:rPr>
          <w:rFonts w:ascii="仿宋_GB2312" w:eastAsia="仿宋_GB2312"/>
          <w:sz w:val="32"/>
        </w:rPr>
      </w:pPr>
      <w:r>
        <w:rPr>
          <w:rFonts w:ascii="黑体" w:eastAsia="黑体" w:hAnsi="黑体" w:hint="eastAsia"/>
          <w:sz w:val="32"/>
          <w:szCs w:val="20"/>
        </w:rPr>
        <w:t>第十条</w:t>
      </w:r>
      <w:r>
        <w:rPr>
          <w:rFonts w:ascii="仿宋_GB2312" w:eastAsia="仿宋_GB2312" w:hAnsi="宋体" w:hint="eastAsia"/>
          <w:color w:val="000000"/>
          <w:kern w:val="0"/>
          <w:sz w:val="32"/>
          <w:szCs w:val="32"/>
        </w:rPr>
        <w:t>纳入监管账户的资金，在确保足额按期支付房屋权利人租金和退还承租人押金的前提下，住房租赁企业可以用于支付装修改造相应房屋等必要费用。</w:t>
      </w:r>
    </w:p>
    <w:p>
      <w:pPr>
        <w:adjustRightInd w:val="0"/>
        <w:spacing w:line="600" w:lineRule="exact"/>
        <w:ind w:firstLineChars="200" w:firstLine="640"/>
        <w:rPr>
          <w:rFonts w:ascii="Times New Roman" w:eastAsia="仿宋_GB2312" w:hAnsi="Times New Roman"/>
          <w:sz w:val="32"/>
        </w:rPr>
      </w:pPr>
      <w:r>
        <w:rPr>
          <w:rFonts w:ascii="黑体" w:eastAsia="黑体" w:hAnsi="黑体" w:hint="eastAsia"/>
          <w:sz w:val="32"/>
          <w:szCs w:val="20"/>
        </w:rPr>
        <w:t>第十一条</w:t>
      </w:r>
      <w:r>
        <w:rPr>
          <w:rFonts w:ascii="仿宋_GB2312" w:eastAsia="仿宋_GB2312" w:hint="eastAsia"/>
          <w:sz w:val="32"/>
        </w:rPr>
        <w:t xml:space="preserve"> 监管银行按照协议约定，在市房产局、江苏银保监局、人行南京分行营管部指导下，做好监管账户、企业一般结算账户的开设，相关资金的收缴划转、资金对账，数据分析及风险预警等工作；</w:t>
      </w:r>
      <w:r>
        <w:rPr>
          <w:rFonts w:ascii="Times New Roman" w:eastAsia="仿宋_GB2312" w:hAnsi="Times New Roman"/>
          <w:sz w:val="32"/>
        </w:rPr>
        <w:t>向住房租赁企业、房屋权利人、承租人提供便捷的合同信息查询、资金便捷支付等服务；建立监管</w:t>
      </w:r>
      <w:r>
        <w:rPr>
          <w:rFonts w:ascii="Times New Roman" w:eastAsia="仿宋_GB2312" w:hAnsi="Times New Roman" w:hint="eastAsia"/>
          <w:sz w:val="32"/>
        </w:rPr>
        <w:t>账</w:t>
      </w:r>
      <w:r>
        <w:rPr>
          <w:rFonts w:ascii="Times New Roman" w:eastAsia="仿宋_GB2312" w:hAnsi="Times New Roman"/>
          <w:sz w:val="32"/>
        </w:rPr>
        <w:t>户不明款项处理机制，确保资金缴存、划转的及时准确。</w:t>
      </w:r>
    </w:p>
    <w:p>
      <w:pPr>
        <w:spacing w:line="600" w:lineRule="exact"/>
        <w:ind w:firstLine="600"/>
        <w:rPr>
          <w:rFonts w:ascii="仿宋_GB2312" w:eastAsia="仿宋_GB2312"/>
          <w:sz w:val="32"/>
        </w:rPr>
      </w:pPr>
      <w:r>
        <w:rPr>
          <w:rFonts w:ascii="黑体" w:eastAsia="黑体" w:hAnsi="黑体" w:hint="eastAsia"/>
          <w:sz w:val="32"/>
          <w:szCs w:val="20"/>
        </w:rPr>
        <w:t>第十二条</w:t>
      </w:r>
      <w:r>
        <w:rPr>
          <w:rFonts w:ascii="仿宋_GB2312" w:eastAsia="仿宋_GB2312" w:hint="eastAsia"/>
          <w:sz w:val="32"/>
        </w:rPr>
        <w:t xml:space="preserve"> 市房产局为住房租赁企业业务系统提供租赁平台数据接口联网服务，实现租赁合同网签备案要素完整准确采集，推荐使用租赁合同示范文本实现即时网签备案。</w:t>
      </w:r>
    </w:p>
    <w:p>
      <w:pPr>
        <w:spacing w:line="600" w:lineRule="exact"/>
        <w:ind w:firstLine="600"/>
        <w:rPr>
          <w:rFonts w:ascii="仿宋_GB2312" w:eastAsia="仿宋_GB2312"/>
          <w:sz w:val="32"/>
        </w:rPr>
      </w:pPr>
      <w:r>
        <w:rPr>
          <w:rFonts w:ascii="黑体" w:eastAsia="黑体" w:hAnsi="黑体" w:hint="eastAsia"/>
          <w:sz w:val="32"/>
          <w:szCs w:val="20"/>
        </w:rPr>
        <w:t>第十三条</w:t>
      </w:r>
      <w:r>
        <w:rPr>
          <w:rFonts w:ascii="仿宋_GB2312" w:eastAsia="仿宋_GB2312" w:hint="eastAsia"/>
          <w:sz w:val="32"/>
        </w:rPr>
        <w:t xml:space="preserve"> 监管</w:t>
      </w:r>
      <w:r>
        <w:rPr>
          <w:rFonts w:ascii="仿宋_GB2312" w:eastAsia="仿宋_GB2312"/>
          <w:sz w:val="32"/>
        </w:rPr>
        <w:t>银行通过系统对接方式获取备案</w:t>
      </w:r>
      <w:r>
        <w:rPr>
          <w:rFonts w:ascii="仿宋_GB2312" w:eastAsia="仿宋_GB2312" w:hint="eastAsia"/>
          <w:sz w:val="32"/>
        </w:rPr>
        <w:t>的租赁</w:t>
      </w:r>
      <w:r>
        <w:rPr>
          <w:rFonts w:ascii="仿宋_GB2312" w:eastAsia="仿宋_GB2312"/>
          <w:sz w:val="32"/>
        </w:rPr>
        <w:t>合同信息</w:t>
      </w:r>
      <w:r>
        <w:rPr>
          <w:rFonts w:ascii="仿宋_GB2312" w:eastAsia="仿宋_GB2312" w:hint="eastAsia"/>
          <w:sz w:val="32"/>
        </w:rPr>
        <w:t>，依据住房租赁企业与房屋权利人签订的合同及与承租人签订的合同信息，</w:t>
      </w:r>
      <w:r>
        <w:rPr>
          <w:rFonts w:ascii="仿宋_GB2312" w:eastAsia="仿宋_GB2312"/>
          <w:sz w:val="32"/>
        </w:rPr>
        <w:t>向</w:t>
      </w:r>
      <w:r>
        <w:rPr>
          <w:rFonts w:ascii="仿宋_GB2312" w:eastAsia="仿宋_GB2312" w:hint="eastAsia"/>
          <w:sz w:val="32"/>
        </w:rPr>
        <w:t>住房租赁企业</w:t>
      </w:r>
      <w:r>
        <w:rPr>
          <w:rFonts w:ascii="仿宋_GB2312" w:eastAsia="仿宋_GB2312"/>
          <w:sz w:val="32"/>
        </w:rPr>
        <w:t>、房屋出租人及承租人提供</w:t>
      </w:r>
      <w:r>
        <w:rPr>
          <w:rFonts w:ascii="仿宋_GB2312" w:eastAsia="仿宋_GB2312" w:hint="eastAsia"/>
          <w:sz w:val="32"/>
        </w:rPr>
        <w:t>租赁资金</w:t>
      </w:r>
      <w:r>
        <w:rPr>
          <w:rFonts w:ascii="仿宋_GB2312" w:eastAsia="仿宋_GB2312"/>
          <w:sz w:val="32"/>
        </w:rPr>
        <w:t>代收、代付服务</w:t>
      </w:r>
      <w:r>
        <w:rPr>
          <w:rFonts w:ascii="仿宋_GB2312" w:eastAsia="仿宋_GB2312" w:hint="eastAsia"/>
          <w:sz w:val="32"/>
        </w:rPr>
        <w:t>。</w:t>
      </w:r>
      <w:r>
        <w:rPr>
          <w:rFonts w:ascii="仿宋_GB2312" w:eastAsia="仿宋_GB2312" w:cs="仿宋_GB2312" w:hAnsi="仿宋_GB2312" w:hint="eastAsia"/>
          <w:sz w:val="32"/>
          <w:szCs w:val="32"/>
        </w:rPr>
        <w:t>监管银行应依约履责，若因违规操作导致资金损失的，应依约承担责任。</w:t>
      </w:r>
    </w:p>
    <w:p>
      <w:pPr>
        <w:spacing w:line="600" w:lineRule="exact"/>
        <w:ind w:firstLine="600"/>
        <w:rPr>
          <w:rFonts w:ascii="仿宋_GB2312" w:eastAsia="仿宋_GB2312"/>
          <w:sz w:val="32"/>
        </w:rPr>
      </w:pPr>
      <w:r>
        <w:rPr>
          <w:rFonts w:ascii="黑体" w:eastAsia="黑体" w:hAnsi="黑体" w:hint="eastAsia"/>
          <w:sz w:val="32"/>
          <w:szCs w:val="20"/>
        </w:rPr>
        <w:t>第十四条</w:t>
      </w:r>
      <w:r>
        <w:rPr>
          <w:rFonts w:ascii="仿宋_GB2312" w:eastAsia="仿宋_GB2312" w:hint="eastAsia"/>
          <w:sz w:val="32"/>
        </w:rPr>
        <w:t xml:space="preserve"> 实施租赁资金监管的，住房租赁企业按监管协议约定，将承租人缴存的租金、押金等租赁资金存入监管专户。</w:t>
      </w:r>
    </w:p>
    <w:p>
      <w:pPr>
        <w:spacing w:line="600" w:lineRule="exact"/>
        <w:ind w:firstLine="600"/>
        <w:rPr>
          <w:rFonts w:ascii="仿宋_GB2312" w:eastAsia="仿宋_GB2312"/>
          <w:sz w:val="32"/>
        </w:rPr>
      </w:pPr>
      <w:r>
        <w:rPr>
          <w:rFonts w:ascii="黑体" w:eastAsia="黑体" w:hAnsi="黑体" w:hint="eastAsia"/>
          <w:sz w:val="32"/>
          <w:szCs w:val="20"/>
        </w:rPr>
        <w:t>第十五条</w:t>
      </w:r>
      <w:r>
        <w:rPr>
          <w:rFonts w:ascii="仿宋_GB2312" w:eastAsia="仿宋_GB2312" w:hint="eastAsia"/>
          <w:sz w:val="32"/>
        </w:rPr>
        <w:t xml:space="preserve"> 监管银行根据监管协议和有关合同，按照住房租赁企业向房屋权利人支付租金的周期，将租金划转房屋权利人，并将对应房屋权利人支付周期租金盈余部分等划转住房租赁企业一般结算账户。</w:t>
      </w:r>
    </w:p>
    <w:p>
      <w:pPr>
        <w:spacing w:line="600" w:lineRule="exact"/>
        <w:ind w:firstLine="600"/>
        <w:rPr>
          <w:rFonts w:ascii="仿宋_GB2312" w:eastAsia="仿宋_GB2312"/>
          <w:sz w:val="32"/>
        </w:rPr>
      </w:pPr>
      <w:r>
        <w:rPr>
          <w:rFonts w:ascii="黑体" w:eastAsia="黑体" w:hAnsi="黑体" w:hint="eastAsia"/>
          <w:sz w:val="32"/>
          <w:szCs w:val="20"/>
        </w:rPr>
        <w:t xml:space="preserve">第十六条 </w:t>
      </w:r>
      <w:r>
        <w:rPr>
          <w:rFonts w:ascii="仿宋_GB2312" w:eastAsia="仿宋_GB2312" w:hint="eastAsia"/>
          <w:sz w:val="32"/>
        </w:rPr>
        <w:t>住房租赁企业依合同约定收取承租人押金并实施监管的，监管银行根据监管协议和合同信息核实押金缴存情况，如缴存不到位的，从企业一般结算账户划转补足。</w:t>
      </w:r>
    </w:p>
    <w:p>
      <w:pPr>
        <w:spacing w:line="600" w:lineRule="exact"/>
        <w:ind w:firstLine="600"/>
        <w:rPr>
          <w:rFonts w:ascii="Times New Roman" w:eastAsia="仿宋_GB2312" w:hAnsi="Times New Roman"/>
          <w:sz w:val="32"/>
        </w:rPr>
      </w:pPr>
      <w:r>
        <w:rPr>
          <w:rFonts w:ascii="黑体" w:eastAsia="黑体" w:hAnsi="黑体" w:hint="eastAsia"/>
          <w:sz w:val="32"/>
          <w:szCs w:val="20"/>
        </w:rPr>
        <w:t>第十七条</w:t>
      </w:r>
      <w:r>
        <w:rPr>
          <w:rFonts w:ascii="Times New Roman" w:eastAsia="仿宋_GB2312" w:hAnsi="Times New Roman" w:hint="eastAsia"/>
          <w:sz w:val="32"/>
        </w:rPr>
        <w:t>鼓励住房租赁企业自愿缴存风险保证金；鼓励监管银行按照风险程度对住房租赁企业租赁资金实行差异化管理。</w:t>
      </w:r>
    </w:p>
    <w:p>
      <w:pPr>
        <w:adjustRightInd w:val="0"/>
        <w:spacing w:line="600" w:lineRule="exact"/>
        <w:ind w:firstLineChars="200" w:firstLine="640"/>
        <w:rPr>
          <w:rFonts w:ascii="Times New Roman" w:eastAsia="仿宋_GB2312" w:hAnsi="Times New Roman"/>
          <w:sz w:val="32"/>
        </w:rPr>
      </w:pPr>
      <w:r>
        <w:rPr>
          <w:rFonts w:ascii="黑体" w:eastAsia="黑体" w:hAnsi="黑体"/>
          <w:sz w:val="32"/>
          <w:szCs w:val="20"/>
        </w:rPr>
        <w:t>第</w:t>
      </w:r>
      <w:r>
        <w:rPr>
          <w:rFonts w:ascii="黑体" w:eastAsia="黑体" w:hAnsi="黑体" w:hint="eastAsia"/>
          <w:sz w:val="32"/>
          <w:szCs w:val="20"/>
        </w:rPr>
        <w:t>十八</w:t>
      </w:r>
      <w:r>
        <w:rPr>
          <w:rFonts w:ascii="黑体" w:eastAsia="黑体" w:hAnsi="黑体"/>
          <w:sz w:val="32"/>
          <w:szCs w:val="20"/>
        </w:rPr>
        <w:t>条</w:t>
      </w:r>
      <w:r>
        <w:rPr>
          <w:rFonts w:ascii="Times New Roman" w:eastAsia="仿宋_GB2312" w:hAnsi="Times New Roman" w:hint="eastAsia"/>
          <w:sz w:val="32"/>
        </w:rPr>
        <w:t>住房租赁企业如无法按合同约定向房屋权利人足额支付租金，或无法按照租赁合同约定向承租人退回预缴租金的，监管银行根据监管协议在该企业自愿缴存的风险保证金中划转补足；在风险保证金划转仍不足的情况下，监管银行根据监管协议从住房租赁企业的一般结算账户划转。</w:t>
      </w:r>
    </w:p>
    <w:p>
      <w:pPr>
        <w:spacing w:line="600" w:lineRule="exact"/>
        <w:ind w:firstLine="600"/>
        <w:rPr>
          <w:rFonts w:ascii="Times New Roman" w:eastAsia="仿宋_GB2312" w:hAnsi="Times New Roman"/>
          <w:sz w:val="32"/>
        </w:rPr>
      </w:pPr>
      <w:r>
        <w:rPr>
          <w:rFonts w:ascii="黑体" w:eastAsia="黑体" w:hAnsi="黑体" w:hint="eastAsia"/>
          <w:sz w:val="32"/>
          <w:szCs w:val="20"/>
        </w:rPr>
        <w:t>第十九条</w:t>
      </w:r>
      <w:r>
        <w:rPr>
          <w:rFonts w:ascii="仿宋_GB2312" w:eastAsia="仿宋_GB2312" w:hint="eastAsia"/>
          <w:sz w:val="32"/>
        </w:rPr>
        <w:t xml:space="preserve"> 经协商变更、续租或终止租赁关系的，住房租赁企业</w:t>
      </w:r>
      <w:r>
        <w:rPr>
          <w:rFonts w:ascii="Times New Roman" w:eastAsia="仿宋_GB2312" w:hAnsi="Times New Roman"/>
          <w:sz w:val="32"/>
        </w:rPr>
        <w:t>应在30日内通过租赁平台办理租赁合同的变更、延续或者注销手续。相关手续办理后，监管银行应在2个工作日内办理资金监管相关手续，包括押金退还、租金划转。其中，承租人缴纳的押金在租赁关系结束后，押金应返还至住房租赁企业一般结算账户，由住房租赁企业依据合同与承租人协商处理。</w:t>
      </w:r>
    </w:p>
    <w:p>
      <w:pPr>
        <w:spacing w:line="600" w:lineRule="exact"/>
        <w:ind w:firstLine="600"/>
        <w:rPr>
          <w:rFonts w:ascii="Times New Roman" w:eastAsia="仿宋_GB2312" w:hAnsi="Times New Roman"/>
          <w:sz w:val="32"/>
        </w:rPr>
      </w:pPr>
      <w:r>
        <w:rPr>
          <w:rFonts w:ascii="黑体" w:eastAsia="黑体" w:hAnsi="黑体"/>
          <w:sz w:val="32"/>
          <w:szCs w:val="20"/>
        </w:rPr>
        <w:t>第</w:t>
      </w:r>
      <w:r>
        <w:rPr>
          <w:rFonts w:ascii="黑体" w:eastAsia="黑体" w:hAnsi="黑体" w:hint="eastAsia"/>
          <w:sz w:val="32"/>
          <w:szCs w:val="20"/>
        </w:rPr>
        <w:t>二十</w:t>
      </w:r>
      <w:r>
        <w:rPr>
          <w:rFonts w:ascii="黑体" w:eastAsia="黑体" w:hAnsi="黑体"/>
          <w:sz w:val="32"/>
          <w:szCs w:val="20"/>
        </w:rPr>
        <w:t>条</w:t>
      </w:r>
      <w:r>
        <w:rPr>
          <w:rFonts w:ascii="Times New Roman" w:eastAsia="仿宋_GB2312" w:hAnsi="Times New Roman" w:hint="eastAsia"/>
          <w:sz w:val="32"/>
        </w:rPr>
        <w:t>对存在违法违规行为的住房租赁企业，市、区房产（住建）及相关部门将视情节轻重，依法依规采取约谈告诫、列入风险警示名单、公开曝光、社会征信、行政查处等措施；涉嫌犯罪的，将依法移交司法机关。</w:t>
      </w:r>
    </w:p>
    <w:p>
      <w:pPr>
        <w:adjustRightInd w:val="0"/>
        <w:spacing w:line="600" w:lineRule="exact"/>
        <w:ind w:firstLineChars="200" w:firstLine="640"/>
        <w:rPr>
          <w:rFonts w:ascii="仿宋_GB2312" w:eastAsia="仿宋_GB2312"/>
          <w:sz w:val="32"/>
        </w:rPr>
      </w:pPr>
      <w:r>
        <w:rPr>
          <w:rFonts w:ascii="黑体" w:eastAsia="黑体" w:hAnsi="黑体" w:hint="eastAsia"/>
          <w:sz w:val="32"/>
          <w:szCs w:val="20"/>
        </w:rPr>
        <w:t>第二十一条</w:t>
      </w:r>
      <w:r>
        <w:rPr>
          <w:rFonts w:ascii="仿宋_GB2312" w:eastAsia="仿宋_GB2312" w:hint="eastAsia"/>
          <w:sz w:val="32"/>
        </w:rPr>
        <w:t xml:space="preserve"> 市房产局是本市住房租赁行业主管部门，会同江苏银保监局、人行南京分行营管部建立本市</w:t>
      </w:r>
      <w:r>
        <w:rPr>
          <w:rFonts w:ascii="仿宋_GB2312" w:eastAsia="仿宋_GB2312"/>
          <w:sz w:val="32"/>
        </w:rPr>
        <w:t>住房租赁企业</w:t>
      </w:r>
      <w:r>
        <w:rPr>
          <w:rFonts w:ascii="仿宋_GB2312" w:eastAsia="仿宋_GB2312" w:hint="eastAsia"/>
          <w:sz w:val="32"/>
        </w:rPr>
        <w:t>租赁资金</w:t>
      </w:r>
      <w:r>
        <w:rPr>
          <w:rFonts w:ascii="仿宋_GB2312" w:eastAsia="仿宋_GB2312"/>
          <w:sz w:val="32"/>
        </w:rPr>
        <w:t>银行监管</w:t>
      </w:r>
      <w:r>
        <w:rPr>
          <w:rFonts w:ascii="仿宋_GB2312" w:eastAsia="仿宋_GB2312" w:hint="eastAsia"/>
          <w:sz w:val="32"/>
        </w:rPr>
        <w:t>制度，指导监管银行建立租赁资金监管系统，监督指导各区开展租赁资金监管和企业培训工作；会同发改部门建立住房租赁企业及其从业人员信用评价体系，依法对住房租赁企业实行分级分类监管。</w:t>
      </w:r>
    </w:p>
    <w:p>
      <w:pPr>
        <w:adjustRightInd w:val="0"/>
        <w:spacing w:line="600" w:lineRule="exact"/>
        <w:ind w:firstLineChars="200" w:firstLine="640"/>
        <w:rPr>
          <w:rFonts w:ascii="仿宋_GB2312" w:eastAsia="仿宋_GB2312"/>
          <w:sz w:val="32"/>
        </w:rPr>
      </w:pPr>
      <w:r>
        <w:rPr>
          <w:rFonts w:ascii="仿宋_GB2312" w:eastAsia="仿宋_GB2312" w:hint="eastAsia"/>
          <w:sz w:val="32"/>
        </w:rPr>
        <w:t>江苏银保监局、人行南京分行营管部按照各自职责，对监管租赁资金的银行业金融机构进行指导、监督。</w:t>
      </w:r>
    </w:p>
    <w:p>
      <w:pPr>
        <w:adjustRightInd w:val="0"/>
        <w:spacing w:line="600" w:lineRule="exact"/>
        <w:ind w:firstLineChars="200" w:firstLine="640"/>
        <w:rPr>
          <w:rFonts w:ascii="仿宋_GB2312" w:eastAsia="仿宋_GB2312"/>
          <w:sz w:val="32"/>
        </w:rPr>
      </w:pPr>
      <w:r>
        <w:rPr>
          <w:rFonts w:ascii="仿宋_GB2312" w:eastAsia="仿宋_GB2312" w:hint="eastAsia"/>
          <w:sz w:val="32"/>
        </w:rPr>
        <w:t>各区房产（住建）管理部门负责建立健全辖区内租赁资金监管业务培训、指导和检查制度，指导辖区内注册的住房租赁企业与银行签订监管协议，督促住房租赁企业办理租赁合同网签备案、实施租赁资金监管业务，加强属地住房租赁企业日常经营活动的监督管理和风险防控。</w:t>
      </w:r>
    </w:p>
    <w:p>
      <w:pPr>
        <w:adjustRightInd w:val="0"/>
        <w:spacing w:line="600" w:lineRule="exact"/>
        <w:ind w:firstLineChars="200" w:firstLine="640"/>
        <w:rPr>
          <w:rFonts w:ascii="仿宋_GB2312" w:eastAsia="仿宋_GB2312"/>
          <w:sz w:val="32"/>
        </w:rPr>
      </w:pPr>
      <w:r>
        <w:rPr>
          <w:rFonts w:ascii="仿宋_GB2312" w:eastAsia="仿宋_GB2312" w:hint="eastAsia"/>
          <w:sz w:val="32"/>
        </w:rPr>
        <w:t>其他各职能部门按照法定职责分工做好监管工作。江北新区管委会、各区政府相关部门应当履行属地责任，做好辖区范围内住房租赁企业及其租赁资金监管工作。</w:t>
      </w:r>
    </w:p>
    <w:p>
      <w:pPr>
        <w:spacing w:line="600" w:lineRule="exact"/>
        <w:ind w:firstLine="600"/>
        <w:rPr>
          <w:rFonts w:ascii="Times New Roman" w:eastAsia="仿宋_GB2312" w:hAnsi="Times New Roman"/>
          <w:sz w:val="32"/>
        </w:rPr>
      </w:pPr>
      <w:r>
        <w:rPr>
          <w:rFonts w:ascii="仿宋_GB2312" w:eastAsia="仿宋_GB2312" w:hint="eastAsia"/>
          <w:sz w:val="32"/>
        </w:rPr>
        <w:t>南京市住房租赁行业协会负责建立行业自律机制，</w:t>
      </w:r>
      <w:r>
        <w:rPr>
          <w:rFonts w:ascii="仿宋_GB2312" w:eastAsia="仿宋_GB2312" w:hAnsi="宋体" w:hint="eastAsia"/>
          <w:color w:val="000000"/>
          <w:kern w:val="0"/>
          <w:sz w:val="32"/>
          <w:szCs w:val="32"/>
        </w:rPr>
        <w:t>完善住房租赁行业执业规则，</w:t>
      </w:r>
      <w:r>
        <w:rPr>
          <w:rFonts w:ascii="仿宋_GB2312" w:eastAsia="仿宋_GB2312" w:hint="eastAsia"/>
          <w:sz w:val="32"/>
        </w:rPr>
        <w:t>倡导住房租赁企业使用租赁合同示范文本办理租赁合同网签备案，</w:t>
      </w:r>
      <w:r>
        <w:rPr>
          <w:rFonts w:ascii="仿宋_GB2312" w:eastAsia="仿宋_GB2312" w:hAnsi="宋体" w:hint="eastAsia"/>
          <w:color w:val="000000"/>
          <w:kern w:val="0"/>
          <w:sz w:val="32"/>
          <w:szCs w:val="32"/>
        </w:rPr>
        <w:t>配合相关部门处理住房租赁矛盾纠纷，净化住房租赁市场环境</w:t>
      </w:r>
      <w:r>
        <w:rPr>
          <w:rFonts w:ascii="仿宋_GB2312" w:eastAsia="仿宋_GB2312" w:hint="eastAsia"/>
          <w:sz w:val="32"/>
        </w:rPr>
        <w:t>。</w:t>
      </w:r>
    </w:p>
    <w:p>
      <w:pPr>
        <w:spacing w:line="600" w:lineRule="exact"/>
        <w:ind w:firstLine="600"/>
        <w:rPr>
          <w:rFonts w:ascii="Times New Roman" w:eastAsia="仿宋_GB2312" w:hAnsi="Times New Roman"/>
          <w:sz w:val="32"/>
        </w:rPr>
      </w:pPr>
      <w:r>
        <w:rPr>
          <w:rFonts w:ascii="黑体" w:eastAsia="黑体" w:hAnsi="黑体"/>
          <w:sz w:val="32"/>
          <w:szCs w:val="20"/>
        </w:rPr>
        <w:t>第二十</w:t>
      </w:r>
      <w:r>
        <w:rPr>
          <w:rFonts w:ascii="黑体" w:eastAsia="黑体" w:hAnsi="黑体" w:hint="eastAsia"/>
          <w:sz w:val="32"/>
          <w:szCs w:val="20"/>
        </w:rPr>
        <w:t>二</w:t>
      </w:r>
      <w:r>
        <w:rPr>
          <w:rFonts w:ascii="黑体" w:eastAsia="黑体" w:hAnsi="黑体"/>
          <w:sz w:val="32"/>
          <w:szCs w:val="20"/>
        </w:rPr>
        <w:t>条</w:t>
      </w:r>
      <w:r>
        <w:rPr>
          <w:rFonts w:ascii="Times New Roman" w:eastAsia="仿宋_GB2312" w:hAnsi="Times New Roman"/>
          <w:sz w:val="32"/>
        </w:rPr>
        <w:t>在本细则实施前，住房租赁企业与房屋权利人（出租人）、承租人已签订合同的，三方协商一致要求实施资金监管的，住房租赁企业</w:t>
      </w:r>
      <w:r>
        <w:rPr>
          <w:rFonts w:ascii="Times New Roman" w:eastAsia="仿宋_GB2312" w:hAnsi="Times New Roman" w:hint="eastAsia"/>
          <w:sz w:val="32"/>
        </w:rPr>
        <w:t>可</w:t>
      </w:r>
      <w:r>
        <w:rPr>
          <w:rFonts w:ascii="Times New Roman" w:eastAsia="仿宋_GB2312" w:hAnsi="Times New Roman"/>
          <w:sz w:val="32"/>
        </w:rPr>
        <w:t>按本细则办理租赁合同网签备案，将新缴存的租赁资金纳入银行监管。</w:t>
      </w:r>
    </w:p>
    <w:p>
      <w:pPr>
        <w:spacing w:line="600" w:lineRule="exact"/>
        <w:ind w:firstLine="600"/>
        <w:rPr>
          <w:rFonts w:ascii="仿宋" w:eastAsia="仿宋" w:hAnsi="仿宋"/>
          <w:sz w:val="32"/>
        </w:rPr>
      </w:pPr>
      <w:r>
        <w:rPr>
          <w:rFonts w:ascii="黑体" w:eastAsia="黑体" w:hAnsi="黑体"/>
          <w:sz w:val="32"/>
          <w:szCs w:val="20"/>
        </w:rPr>
        <w:t>第二十</w:t>
      </w:r>
      <w:r>
        <w:rPr>
          <w:rFonts w:ascii="黑体" w:eastAsia="黑体" w:hAnsi="黑体" w:hint="eastAsia"/>
          <w:sz w:val="32"/>
          <w:szCs w:val="20"/>
        </w:rPr>
        <w:t>三</w:t>
      </w:r>
      <w:r>
        <w:rPr>
          <w:rFonts w:ascii="黑体" w:eastAsia="黑体" w:hAnsi="黑体"/>
          <w:sz w:val="32"/>
          <w:szCs w:val="20"/>
        </w:rPr>
        <w:t>条</w:t>
      </w:r>
      <w:r>
        <w:rPr>
          <w:rFonts w:ascii="Times New Roman" w:eastAsia="仿宋_GB2312" w:hAnsi="Times New Roman"/>
          <w:sz w:val="32"/>
        </w:rPr>
        <w:t>本细则</w:t>
      </w:r>
      <w:r>
        <w:rPr>
          <w:rFonts w:ascii="仿宋" w:eastAsia="仿宋" w:hAnsi="仿宋"/>
          <w:sz w:val="32"/>
        </w:rPr>
        <w:t>自2021年</w:t>
      </w:r>
      <w:r>
        <w:rPr>
          <w:rFonts w:ascii="仿宋" w:eastAsia="仿宋" w:hAnsi="仿宋" w:hint="eastAsia"/>
          <w:sz w:val="32"/>
        </w:rPr>
        <w:t>9</w:t>
      </w:r>
      <w:r>
        <w:rPr>
          <w:rFonts w:ascii="仿宋" w:eastAsia="仿宋" w:hAnsi="仿宋"/>
          <w:sz w:val="32"/>
        </w:rPr>
        <w:t>月</w:t>
      </w:r>
      <w:r>
        <w:rPr>
          <w:rFonts w:ascii="仿宋" w:eastAsia="仿宋" w:hAnsi="仿宋" w:hint="eastAsia"/>
          <w:sz w:val="32"/>
        </w:rPr>
        <w:t>1</w:t>
      </w:r>
      <w:r>
        <w:rPr>
          <w:rFonts w:ascii="仿宋" w:eastAsia="仿宋" w:hAnsi="仿宋"/>
          <w:sz w:val="32"/>
        </w:rPr>
        <w:t>日起施行，</w:t>
      </w:r>
      <w:r>
        <w:rPr>
          <w:rFonts w:ascii="仿宋" w:eastAsia="仿宋" w:hAnsi="仿宋" w:hint="eastAsia"/>
          <w:sz w:val="32"/>
        </w:rPr>
        <w:t>有效期至202</w:t>
      </w:r>
      <w:r>
        <w:rPr>
          <w:rFonts w:ascii="仿宋" w:eastAsia="仿宋" w:hAnsi="仿宋"/>
          <w:sz w:val="32"/>
        </w:rPr>
        <w:t>8</w:t>
      </w:r>
      <w:r>
        <w:rPr>
          <w:rFonts w:ascii="仿宋" w:eastAsia="仿宋" w:hAnsi="仿宋" w:hint="eastAsia"/>
          <w:sz w:val="32"/>
        </w:rPr>
        <w:t>年</w:t>
      </w:r>
      <w:r>
        <w:rPr>
          <w:rFonts w:ascii="仿宋" w:eastAsia="仿宋" w:hAnsi="仿宋"/>
          <w:sz w:val="32"/>
        </w:rPr>
        <w:t>8</w:t>
      </w:r>
      <w:r>
        <w:rPr>
          <w:rFonts w:ascii="仿宋" w:eastAsia="仿宋" w:hAnsi="仿宋" w:hint="eastAsia"/>
          <w:sz w:val="32"/>
        </w:rPr>
        <w:t>月</w:t>
      </w:r>
      <w:r>
        <w:rPr>
          <w:rFonts w:ascii="仿宋" w:eastAsia="仿宋" w:hAnsi="仿宋"/>
          <w:sz w:val="32"/>
        </w:rPr>
        <w:t>24</w:t>
      </w:r>
      <w:r>
        <w:rPr>
          <w:rFonts w:ascii="仿宋" w:eastAsia="仿宋" w:hAnsi="仿宋" w:hint="eastAsia"/>
          <w:sz w:val="32"/>
        </w:rPr>
        <w:t>日止，</w:t>
      </w:r>
      <w:r>
        <w:rPr>
          <w:rFonts w:ascii="仿宋" w:eastAsia="仿宋" w:hAnsi="仿宋"/>
          <w:sz w:val="32"/>
        </w:rPr>
        <w:t>国家、省、市有关管理部门出台新的规定，依照新规定执行</w:t>
      </w:r>
      <w:r>
        <w:rPr>
          <w:rFonts w:ascii="仿宋" w:eastAsia="仿宋" w:hAnsi="仿宋" w:hint="eastAsia"/>
          <w:sz w:val="32"/>
        </w:rPr>
        <w:t>。</w:t>
      </w:r>
    </w:p>
    <w:p>
      <w:pPr>
        <w:jc w:val="center"/>
        <w:rPr>
          <w:rFonts w:ascii="黑体" w:eastAsia="黑体" w:hAnsi="黑体"/>
        </w:rPr>
      </w:pPr>
    </w:p>
    <w:p>
      <w:pPr>
        <w:jc w:val="center"/>
        <w:rPr>
          <w:rFonts w:ascii="黑体" w:eastAsia="黑体" w:hAnsi="黑体"/>
        </w:rPr>
      </w:pPr>
    </w:p>
    <w:p>
      <w:pPr>
        <w:jc w:val="center"/>
        <w:rPr>
          <w:rFonts w:ascii="黑体" w:eastAsia="黑体" w:hAnsi="黑体"/>
        </w:rPr>
      </w:pPr>
    </w:p>
    <w:p>
      <w:pPr>
        <w:widowControl/>
        <w:shd w:val="clear" w:color="auto" w:fill="FFFFFF"/>
        <w:spacing w:line="600" w:lineRule="exact"/>
        <w:ind w:firstLine="480"/>
        <w:jc w:val="right"/>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南京市住房保障和房产局</w:t>
      </w:r>
    </w:p>
    <w:p>
      <w:pPr>
        <w:widowControl/>
        <w:shd w:val="clear" w:color="auto" w:fill="FFFFFF"/>
        <w:spacing w:line="600" w:lineRule="exact"/>
        <w:ind w:firstLine="480"/>
        <w:jc w:val="right"/>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中国银保监会江苏监管局</w:t>
      </w:r>
    </w:p>
    <w:p>
      <w:pPr>
        <w:widowControl/>
        <w:shd w:val="clear" w:color="auto" w:fill="FFFFFF"/>
        <w:spacing w:line="600" w:lineRule="exact"/>
        <w:ind w:firstLine="480"/>
        <w:jc w:val="right"/>
        <w:rPr>
          <w:rFonts w:ascii="Times New Roman" w:eastAsia="仿宋_GB2312" w:hAnsi="Times New Roman"/>
          <w:color w:val="000000"/>
          <w:kern w:val="0"/>
          <w:sz w:val="32"/>
          <w:szCs w:val="32"/>
        </w:rPr>
      </w:pPr>
      <w:r>
        <w:rPr>
          <w:rFonts w:ascii="Times New Roman" w:eastAsia="仿宋_GB2312" w:hAnsi="Times New Roman" w:hint="eastAsia"/>
          <w:color w:val="000000"/>
          <w:kern w:val="0"/>
          <w:sz w:val="32"/>
          <w:szCs w:val="32"/>
        </w:rPr>
        <w:t>中国人民银行南京分行营业管理部</w:t>
      </w:r>
    </w:p>
    <w:p>
      <w:pPr>
        <w:widowControl/>
        <w:shd w:val="clear" w:color="auto" w:fill="FFFFFF"/>
        <w:spacing w:line="600" w:lineRule="exact"/>
        <w:ind w:right="320" w:firstLine="480"/>
        <w:jc w:val="right"/>
      </w:pPr>
      <w:r>
        <w:rPr>
          <w:rFonts w:ascii="Times New Roman" w:eastAsia="仿宋_GB2312" w:hAnsi="Times New Roman" w:hint="eastAsia"/>
          <w:color w:val="000000"/>
          <w:kern w:val="0"/>
          <w:sz w:val="32"/>
          <w:szCs w:val="32"/>
        </w:rPr>
        <w:t>2021年7月5日</w:t>
      </w:r>
    </w:p>
    <w:p>
      <w:pPr>
        <w:jc w:val="center"/>
        <w:rPr>
          <w:rFonts w:ascii="黑体" w:eastAsia="黑体" w:hAnsi="黑体"/>
        </w:rPr>
      </w:pPr>
    </w:p>
    <w:p>
      <w:pPr>
        <w:widowControl/>
        <w:jc w:val="left"/>
        <w:rPr>
          <w:rFonts w:ascii="黑体" w:eastAsia="黑体" w:hAnsi="黑体"/>
        </w:rPr>
      </w:pPr>
      <w:r>
        <w:rPr>
          <w:rFonts w:ascii="黑体" w:eastAsia="黑体" w:hAnsi="黑体"/>
        </w:rPr>
        <w:br w:type="page"/>
      </w:r>
    </w:p>
    <w:p>
      <w:pPr>
        <w:kinsoku w:val="0"/>
        <w:autoSpaceDE w:val="0"/>
        <w:autoSpaceDN w:val="0"/>
        <w:adjustRightInd w:val="0"/>
        <w:snapToGrid w:val="0"/>
        <w:spacing w:line="240" w:lineRule="auto"/>
        <w:ind w:right="0"/>
        <w:jc w:val="center"/>
        <w:textAlignment w:val="baseline"/>
        <w:rPr>
          <w:rFonts w:ascii="Times New Roman" w:eastAsia="方正小标宋_GBK" w:cs="Times New Roman" w:hAnsi="Times New Roman"/>
          <w:snapToGrid/>
          <w:color w:val="000000"/>
          <w:kern w:val="2"/>
          <w:sz w:val="44"/>
          <w:szCs w:val="44"/>
          <w:lang w:val="en-US" w:eastAsia="zh-CN" w:bidi="ar-SA"/>
        </w:rPr>
      </w:pPr>
      <w:r>
        <w:rPr>
          <w:rFonts w:ascii="Times New Roman" w:eastAsia="方正小标宋_GBK" w:cs="Times New Roman" w:hAnsi="Times New Roman"/>
          <w:snapToGrid/>
          <w:color w:val="000000"/>
          <w:kern w:val="2"/>
          <w:sz w:val="44"/>
          <w:szCs w:val="44"/>
          <w:lang w:val="en-US" w:eastAsia="zh-CN" w:bidi="ar-SA"/>
        </w:rPr>
        <w:t>关于进一步加强我市</w:t>
      </w:r>
    </w:p>
    <w:p>
      <w:pPr>
        <w:kinsoku w:val="0"/>
        <w:autoSpaceDE w:val="0"/>
        <w:autoSpaceDN w:val="0"/>
        <w:adjustRightInd w:val="0"/>
        <w:snapToGrid w:val="0"/>
        <w:spacing w:line="240" w:lineRule="auto"/>
        <w:ind w:right="0"/>
        <w:jc w:val="center"/>
        <w:textAlignment w:val="baseline"/>
        <w:rPr>
          <w:rFonts w:ascii="Times New Roman" w:eastAsia="方正小标宋_GBK" w:cs="Times New Roman" w:hAnsi="Times New Roman" w:hint="eastAsia"/>
          <w:snapToGrid/>
          <w:color w:val="000000"/>
          <w:kern w:val="2"/>
          <w:sz w:val="44"/>
          <w:szCs w:val="44"/>
          <w:lang w:val="en-US" w:eastAsia="zh-CN" w:bidi="ar-SA"/>
        </w:rPr>
      </w:pPr>
      <w:r>
        <w:rPr>
          <w:rFonts w:ascii="Times New Roman" w:eastAsia="方正小标宋_GBK" w:cs="Times New Roman" w:hAnsi="Times New Roman"/>
          <w:snapToGrid/>
          <w:color w:val="000000"/>
          <w:kern w:val="2"/>
          <w:sz w:val="44"/>
          <w:szCs w:val="44"/>
          <w:lang w:val="en-US" w:eastAsia="zh-CN" w:bidi="ar-SA"/>
        </w:rPr>
        <w:t>公共租赁住房管理</w:t>
      </w:r>
      <w:r>
        <w:rPr>
          <w:rFonts w:ascii="Times New Roman" w:eastAsia="方正小标宋_GBK" w:cs="Times New Roman" w:hAnsi="Times New Roman" w:hint="eastAsia"/>
          <w:snapToGrid/>
          <w:color w:val="000000"/>
          <w:kern w:val="2"/>
          <w:sz w:val="44"/>
          <w:szCs w:val="44"/>
          <w:lang w:val="en-US" w:eastAsia="zh-CN" w:bidi="ar-SA"/>
        </w:rPr>
        <w:t>工作的通知</w:t>
      </w:r>
    </w:p>
    <w:p>
      <w:pPr>
        <w:kinsoku w:val="0"/>
        <w:autoSpaceDE w:val="0"/>
        <w:autoSpaceDN w:val="0"/>
        <w:adjustRightInd w:val="0"/>
        <w:snapToGrid w:val="0"/>
        <w:spacing w:line="240" w:lineRule="auto"/>
        <w:ind w:right="0"/>
        <w:jc w:val="center"/>
        <w:textAlignment w:val="baseline"/>
        <w:rPr>
          <w:rFonts w:ascii="仿宋_GB2312" w:eastAsia="仿宋_GB2312" w:cs="仿宋_GB2312" w:hAnsi="仿宋_GB2312" w:hint="eastAsia"/>
          <w:snapToGrid/>
          <w:color w:val="000000"/>
          <w:kern w:val="2"/>
          <w:sz w:val="32"/>
          <w:szCs w:val="32"/>
          <w:lang w:val="en-US" w:eastAsia="zh-CN" w:bidi="ar-SA"/>
        </w:rPr>
      </w:pPr>
      <w:r>
        <w:rPr>
          <w:rFonts w:ascii="仿宋_GB2312" w:eastAsia="仿宋_GB2312" w:cs="仿宋_GB2312" w:hAnsi="仿宋_GB2312" w:hint="eastAsia"/>
          <w:snapToGrid w:val="0"/>
          <w:color w:val="auto"/>
          <w:spacing w:val="-8"/>
          <w:kern w:val="0"/>
          <w:sz w:val="32"/>
          <w:szCs w:val="32"/>
          <w:lang w:val="en-US" w:bidi="ar-SA"/>
        </w:rPr>
        <w:t>宁房保字〔2023〕7号</w:t>
      </w:r>
    </w:p>
    <w:p>
      <w:pPr>
        <w:widowControl/>
        <w:kinsoku w:val="0"/>
        <w:autoSpaceDE w:val="0"/>
        <w:autoSpaceDN w:val="0"/>
        <w:adjustRightInd w:val="0"/>
        <w:snapToGrid w:val="0"/>
        <w:spacing w:line="430" w:lineRule="auto"/>
        <w:jc w:val="left"/>
        <w:textAlignment w:val="baseline"/>
        <w:rPr>
          <w:rFonts w:ascii="Arial" w:eastAsia="Arial" w:cs="Arial" w:hAnsi="Arial"/>
          <w:snapToGrid w:val="0"/>
          <w:color w:val="auto"/>
          <w:kern w:val="0"/>
          <w:sz w:val="21"/>
          <w:szCs w:val="21"/>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各区人民政府，各有关单位：</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为贯彻落实国家和省关于公共租赁住房（下简称公租房）回归基本保障的工作要求，进一步规范公租房分配、使用和退出等环节的管理，兜住兜牢民生保障底线，实现我市公租房保障的高质量发展，经市政府同意，现就加强我市公租房管理有关事项通知如下：</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jc w:val="both"/>
        <w:textAlignment w:val="auto"/>
        <w:rPr>
          <w:rFonts w:ascii="黑体" w:eastAsia="黑体" w:cs="黑体" w:hAnsi="黑体" w:hint="eastAsia"/>
          <w:snapToGrid/>
          <w:color w:val="000000"/>
          <w:kern w:val="2"/>
          <w:sz w:val="32"/>
          <w:szCs w:val="32"/>
          <w:lang w:val="en-US" w:eastAsia="zh-CN"/>
        </w:rPr>
      </w:pPr>
      <w:r>
        <w:rPr>
          <w:rFonts w:ascii="黑体" w:eastAsia="黑体" w:cs="黑体" w:hAnsi="黑体" w:hint="eastAsia"/>
          <w:snapToGrid/>
          <w:color w:val="000000"/>
          <w:kern w:val="2"/>
          <w:sz w:val="32"/>
          <w:szCs w:val="32"/>
          <w:lang w:val="en-US" w:eastAsia="zh-CN"/>
        </w:rPr>
        <w:t>一、明确部门职责</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市、区住房保障部门负责公租房承租资格确认及城镇中低收入家庭的住房情况核查。市民政部门负责指导区民政部门和街道开展城镇中低收入住房困难家庭的收入、资产情况核查及在保对象的复核工作。公租房所有权人(或受委托的运营单位)对运营管理负主体责任，具体包括使用期间的履约监督管理、租金收缴、日常巡查等。</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各类产业园区、功能平台、外来务工人员集中的大型企业、新就业人员较多的高等院校、科研院所等对自建、改建的公租房应落实好主体责任，制定供应分配方案，履行日常管理 职能，并将公租房房源信息纳入全市统计范畴。</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jc w:val="both"/>
        <w:textAlignment w:val="auto"/>
        <w:rPr>
          <w:rFonts w:ascii="黑体" w:eastAsia="黑体" w:cs="黑体" w:hAnsi="黑体" w:hint="eastAsia"/>
          <w:snapToGrid/>
          <w:color w:val="000000"/>
          <w:kern w:val="2"/>
          <w:sz w:val="32"/>
          <w:szCs w:val="32"/>
          <w:lang w:val="en-US" w:eastAsia="zh-CN"/>
        </w:rPr>
      </w:pPr>
      <w:r>
        <w:rPr>
          <w:rFonts w:ascii="黑体" w:eastAsia="黑体" w:cs="黑体" w:hAnsi="黑体" w:hint="eastAsia"/>
          <w:snapToGrid/>
          <w:color w:val="000000"/>
          <w:kern w:val="2"/>
          <w:sz w:val="32"/>
          <w:szCs w:val="32"/>
          <w:lang w:val="en-US" w:eastAsia="zh-CN"/>
        </w:rPr>
        <w:t>二、合理配置方式</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公租房保障包含实物配租和租赁补贴两种方式。实物配租主要解决城镇低保、低收入家庭住房困难问题，无房家庭可优先配租。租赁补贴主要解决城镇中等偏下收入家庭住房困难问题，缓解新就业大学生和外来务工人员阶段性住房困难。</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符合条件的新就业大学生和外来务工人员退出原单位承租政府投资公租房的，可通过租赁补贴、保障性租赁住房等保障方式解决其住房问题。</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jc w:val="both"/>
        <w:textAlignment w:val="auto"/>
        <w:rPr>
          <w:rFonts w:ascii="黑体" w:eastAsia="黑体" w:cs="黑体" w:hAnsi="黑体" w:hint="eastAsia"/>
          <w:snapToGrid/>
          <w:color w:val="000000"/>
          <w:kern w:val="2"/>
          <w:sz w:val="32"/>
          <w:szCs w:val="32"/>
          <w:lang w:val="en-US" w:eastAsia="zh-CN"/>
        </w:rPr>
      </w:pPr>
      <w:r>
        <w:rPr>
          <w:rFonts w:ascii="黑体" w:eastAsia="黑体" w:cs="黑体" w:hAnsi="黑体" w:hint="eastAsia"/>
          <w:snapToGrid/>
          <w:color w:val="000000"/>
          <w:kern w:val="2"/>
          <w:sz w:val="32"/>
          <w:szCs w:val="32"/>
          <w:lang w:val="en-US" w:eastAsia="zh-CN"/>
        </w:rPr>
        <w:t>三、明确利他原则</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对2人户的被保障家庭，且相互关系为父子(女)、母子(女)两代人或祖孙隔代的，允许配租两居室公租房。对不 具有完全行为能力的1人户，监护人可为其申请配租两居室公租房，超出公租房最小保障面积45平方米的部分，租金按照公租房标准租金收取。</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审核通过的轮候对象中，对享受国家定期抚恤补助的优抚对象、孤老、残疾人、见义勇为人员、劳动模范、多孩家庭等群体，可优先安排公租房。</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drawing>
          <wp:anchor distT="0" distB="0" distL="0" distR="0" simplePos="0" relativeHeight="19" behindDoc="0" locked="0" layoutInCell="1" hidden="0" allowOverlap="1">
            <wp:simplePos x="0" y="0"/>
            <wp:positionH relativeFrom="column">
              <wp:posOffset>0</wp:posOffset>
            </wp:positionH>
            <wp:positionV relativeFrom="paragraph">
              <wp:posOffset>415290</wp:posOffset>
            </wp:positionV>
            <wp:extent cx="31749" cy="76200"/>
            <wp:effectExtent l="0" t="0" r="0" b="0"/>
            <wp:wrapNone/>
            <wp:docPr id="13" name="IM 4"/>
            <wp:cNvGraphicFramePr>
              <a:graphicFrameLocks noChangeAspect="0"/>
            </wp:cNvGraphicFramePr>
            <a:graphic>
              <a:graphicData uri="http://schemas.openxmlformats.org/drawingml/2006/picture">
                <pic:pic>
                  <pic:nvPicPr>
                    <pic:cNvPr id="15" name="IM 4 15"/>
                    <pic:cNvPicPr/>
                  </pic:nvPicPr>
                  <pic:blipFill>
                    <a:blip r:embed="rId7"/>
                    <a:stretch>
                      <a:fillRect/>
                    </a:stretch>
                  </pic:blipFill>
                  <pic:spPr>
                    <a:xfrm rot="0">
                      <a:off x="0" y="0"/>
                      <a:ext cx="31749" cy="76200"/>
                    </a:xfrm>
                    <a:prstGeom prst="rect"/>
                    <a:noFill/>
                    <a:ln w="9525" cmpd="sng" cap="flat">
                      <a:noFill/>
                      <a:prstDash val="solid"/>
                      <a:miter/>
                    </a:ln>
                  </pic:spPr>
                </pic:pic>
              </a:graphicData>
            </a:graphic>
          </wp:anchor>
        </w:drawing>
      </w:r>
      <w:r>
        <w:rPr>
          <w:rFonts w:ascii="仿宋" w:eastAsia="仿宋" w:cs="仿宋" w:hAnsi="仿宋" w:hint="eastAsia"/>
          <w:snapToGrid/>
          <w:color w:val="000000"/>
          <w:kern w:val="2"/>
          <w:sz w:val="32"/>
          <w:szCs w:val="32"/>
          <w:lang w:val="en-US" w:eastAsia="zh-CN"/>
        </w:rPr>
        <w:t>对智力障碍、肢体残疾导致行动不便的特殊对象，可优先配租与其实际需求相适应的楼层；有精神疾病的被保障对象原则上配租在一层。</w:t>
      </w:r>
    </w:p>
    <w:p>
      <w:pPr>
        <w:keepNext w:val="0"/>
        <w:keepLines w:val="0"/>
        <w:pageBreakBefore w:val="0"/>
        <w:widowControl/>
        <w:kinsoku w:val="0"/>
        <w:wordWrap/>
        <w:overflowPunct/>
        <w:topLinePunct w:val="0"/>
        <w:autoSpaceDE w:val="0"/>
        <w:autoSpaceDN w:val="0"/>
        <w:bidi w:val="0"/>
        <w:adjustRightInd w:val="0"/>
        <w:snapToGrid w:val="0"/>
        <w:spacing w:before="5" w:line="560" w:lineRule="exact"/>
        <w:ind w:firstLineChars="200" w:firstLine="624"/>
        <w:jc w:val="left"/>
        <w:textAlignment w:val="baseline"/>
        <w:rPr>
          <w:rFonts w:ascii="黑体" w:eastAsia="黑体" w:cs="黑体" w:hAnsi="黑体" w:hint="eastAsia"/>
          <w:snapToGrid w:val="0"/>
          <w:color w:val="auto"/>
          <w:spacing w:val="-2"/>
          <w:kern w:val="0"/>
          <w:sz w:val="32"/>
          <w:szCs w:val="32"/>
        </w:rPr>
      </w:pPr>
      <w:r>
        <w:rPr>
          <w:rFonts w:ascii="黑体" w:eastAsia="黑体" w:cs="黑体" w:hAnsi="黑体" w:hint="eastAsia"/>
          <w:snapToGrid w:val="0"/>
          <w:color w:val="auto"/>
          <w:spacing w:val="-4"/>
          <w:kern w:val="0"/>
          <w:sz w:val="32"/>
          <w:szCs w:val="32"/>
        </w:rPr>
        <w:t>四、优化审核路径</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城镇中低收入家庭与公租房所有权人(或受委托的运营单位)签订的公租房租赁合同一般为3年至5年。合同期满前，住房保障部门应牵头做好资格复核工作。</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被保障家庭承租期内，人员结构、收入、资产、住房等发生变化的，(承租人去世的，原承租人配偶或直系亲属应已婚或单身年满35周岁),应依合同约定主动向户籍所在区住房保障部门提交复核申请，所在区住房保障部门应会同民政部门和街道及时开展复核工作，市住房保障部门依据复核结果，及时变更被保障家庭保障标准和承租人信息。</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被保障家庭承租期满前3个月，应主动向公租房所有权人(或受委托的运营单位)提出续租申请。</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jc w:val="both"/>
        <w:textAlignment w:val="auto"/>
        <w:rPr>
          <w:rFonts w:ascii="仿宋" w:eastAsia="仿宋" w:cs="仿宋" w:hAnsi="仿宋" w:hint="eastAsia"/>
          <w:snapToGrid w:val="0"/>
          <w:color w:val="auto"/>
          <w:spacing w:val="-16"/>
          <w:kern w:val="0"/>
          <w:sz w:val="32"/>
          <w:szCs w:val="32"/>
          <w:lang w:eastAsia="zh-CN"/>
        </w:rPr>
      </w:pPr>
      <w:r>
        <w:rPr>
          <w:rFonts w:ascii="仿宋" w:eastAsia="仿宋" w:cs="仿宋" w:hAnsi="仿宋" w:hint="eastAsia"/>
          <w:snapToGrid/>
          <w:color w:val="000000"/>
          <w:kern w:val="2"/>
          <w:sz w:val="32"/>
          <w:szCs w:val="32"/>
          <w:lang w:val="en-US" w:eastAsia="zh-CN"/>
        </w:rPr>
        <w:t>公租房所有权人(或受委托的运营单位)须及时向市住房保障部门发起被保障家庭的资格复核，经所在区住房保障、民政部门和街道审核后仍符合公租房保障条件的，应与其及时签订续租合同；不符合条件的，被保障家庭应配合市住房保障部门和公租房所有权人(或受委托的运营单位)及时办理退出手续。</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被保障家庭拒绝提交资格复核材料，且经催告后仍不提交的，承租期满后依合同应当退出公租房。拒绝提交以及资格复核未通过、承租人拒不腾退的，公租房所有权人(或受委托的运营单位)应向人民法院提起诉讼，要求承租人退出公租房。</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被保障家庭承租江宁上坊片区市本级公租房，其户籍由主城迁移至居住地的，迁移后由江宁区相关职能部门对其资格予以复核。</w:t>
      </w:r>
    </w:p>
    <w:p>
      <w:pPr>
        <w:keepNext w:val="0"/>
        <w:keepLines w:val="0"/>
        <w:pageBreakBefore w:val="0"/>
        <w:widowControl/>
        <w:kinsoku w:val="0"/>
        <w:wordWrap/>
        <w:overflowPunct/>
        <w:topLinePunct w:val="0"/>
        <w:autoSpaceDE w:val="0"/>
        <w:autoSpaceDN w:val="0"/>
        <w:bidi w:val="0"/>
        <w:adjustRightInd w:val="0"/>
        <w:snapToGrid w:val="0"/>
        <w:spacing w:before="184" w:line="560" w:lineRule="exact"/>
        <w:ind w:firstLineChars="200" w:firstLine="632"/>
        <w:jc w:val="left"/>
        <w:textAlignment w:val="baseline"/>
        <w:rPr>
          <w:rFonts w:ascii="黑体" w:eastAsia="黑体" w:cs="黑体" w:hAnsi="黑体" w:hint="eastAsia"/>
          <w:snapToGrid w:val="0"/>
          <w:color w:val="auto"/>
          <w:kern w:val="0"/>
          <w:sz w:val="32"/>
          <w:szCs w:val="32"/>
        </w:rPr>
      </w:pPr>
      <w:r>
        <w:rPr>
          <w:rFonts w:ascii="黑体" w:eastAsia="黑体" w:cs="黑体" w:hAnsi="黑体" w:hint="eastAsia"/>
          <w:snapToGrid w:val="0"/>
          <w:color w:val="auto"/>
          <w:spacing w:val="-2"/>
          <w:kern w:val="0"/>
          <w:sz w:val="32"/>
          <w:szCs w:val="32"/>
        </w:rPr>
        <w:t>五、明确调换规则</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因房屋质量原因导致无法正常使用或因承租人行动不便、精神残疾的，被保障家庭在公租房承租期间，可申请调换公租房。</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被保障家庭调换住房的，其承租人(监护人)可直接向市住房保障部门提交调换申请，经住房保障部门核查情况属实的，予以调换。</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32"/>
        <w:jc w:val="both"/>
        <w:textAlignment w:val="auto"/>
        <w:rPr>
          <w:rFonts w:ascii="黑体" w:eastAsia="黑体" w:cs="黑体" w:hAnsi="黑体" w:hint="eastAsia"/>
          <w:snapToGrid w:val="0"/>
          <w:color w:val="auto"/>
          <w:spacing w:val="-2"/>
          <w:kern w:val="0"/>
          <w:sz w:val="32"/>
          <w:szCs w:val="32"/>
        </w:rPr>
      </w:pPr>
      <w:r>
        <w:rPr>
          <w:rFonts w:ascii="黑体" w:eastAsia="黑体" w:cs="黑体" w:hAnsi="黑体" w:hint="eastAsia"/>
          <w:snapToGrid w:val="0"/>
          <w:color w:val="auto"/>
          <w:spacing w:val="-2"/>
          <w:kern w:val="0"/>
          <w:sz w:val="32"/>
          <w:szCs w:val="32"/>
        </w:rPr>
        <w:t>六、完善退出流程</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被保障家庭承租期内，不再符合承租条件的，经核实后由市住房保障部门取消其保障资格。公租房所有权人(或受委托的运营单位)应据此解除或终止与承租人签订的租赁合同，并予以清退。</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被保障家庭有改变房屋居住用途、私下互换住房、转租转借、长期欠缴租金或改变房屋结构等违反租赁合同约定行为且拒不整改的，公租房产权单位(或受委托的运营单位)应依合同约定直接解除或终止其租赁合同，并予以清退。</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Chars="200" w:firstLine="640"/>
        <w:jc w:val="both"/>
        <w:textAlignment w:val="auto"/>
        <w:rPr>
          <w:rFonts w:ascii="仿宋" w:eastAsia="仿宋" w:cs="仿宋" w:hAnsi="仿宋" w:hint="eastAsia"/>
          <w:snapToGrid w:val="0"/>
          <w:color w:val="auto"/>
          <w:kern w:val="0"/>
          <w:sz w:val="32"/>
          <w:szCs w:val="32"/>
        </w:rPr>
      </w:pPr>
      <w:r>
        <w:rPr>
          <w:rFonts w:ascii="仿宋" w:eastAsia="仿宋" w:cs="仿宋" w:hAnsi="仿宋" w:hint="eastAsia"/>
          <w:snapToGrid/>
          <w:color w:val="000000"/>
          <w:kern w:val="2"/>
          <w:sz w:val="32"/>
          <w:szCs w:val="32"/>
          <w:lang w:val="en-US" w:eastAsia="zh-CN"/>
        </w:rPr>
        <w:t>被保障家庭承租人已死亡且无共同居住人的，由公租房所有权人(或受委托的运营单位)核实后将情况反馈至市住房保障部门，经所在区住房保障部门核实确认其死亡的，市住房保障部门应终止其承租资格，并通知公租房所有权人(或受委托的运营单位)予以清退。</w:t>
      </w:r>
    </w:p>
    <w:p>
      <w:pPr>
        <w:keepNext w:val="0"/>
        <w:keepLines w:val="0"/>
        <w:pageBreakBefore w:val="0"/>
        <w:widowControl/>
        <w:kinsoku w:val="0"/>
        <w:wordWrap/>
        <w:overflowPunct/>
        <w:topLinePunct w:val="0"/>
        <w:autoSpaceDE w:val="0"/>
        <w:autoSpaceDN w:val="0"/>
        <w:bidi w:val="0"/>
        <w:adjustRightInd w:val="0"/>
        <w:snapToGrid w:val="0"/>
        <w:spacing w:before="184" w:line="560" w:lineRule="exact"/>
        <w:ind w:firstLineChars="200" w:firstLine="632"/>
        <w:jc w:val="left"/>
        <w:textAlignment w:val="baseline"/>
        <w:rPr>
          <w:rFonts w:ascii="黑体" w:eastAsia="黑体" w:cs="黑体" w:hAnsi="黑体" w:hint="eastAsia"/>
          <w:snapToGrid w:val="0"/>
          <w:color w:val="auto"/>
          <w:spacing w:val="-2"/>
          <w:kern w:val="0"/>
          <w:sz w:val="32"/>
          <w:szCs w:val="32"/>
        </w:rPr>
      </w:pPr>
      <w:r>
        <w:rPr>
          <w:rFonts w:ascii="黑体" w:eastAsia="黑体" w:cs="黑体" w:hAnsi="黑体" w:hint="eastAsia"/>
          <w:snapToGrid w:val="0"/>
          <w:color w:val="auto"/>
          <w:spacing w:val="-2"/>
          <w:kern w:val="0"/>
          <w:sz w:val="32"/>
          <w:szCs w:val="32"/>
        </w:rPr>
        <w:t>七、明确退出条件</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被保障家庭不再符合承租条件或其他原因的，必须退出但退出确有困难的，公租房所有权人(或受委托的运营单位)可视情况为其安排最长不超过6个月的搬迁期，搬迁期内租金按照原合同约定的数额缴纳。</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搬迁期满仍未腾退公租房，且承租人确无其他住房的，租金应当按照同区域同类住房市场租金缴纳。承租人有其它住房 拒绝腾退的，公租房所有权人(或受委托的运营单位)须向人民法院提起诉讼，要求承租人腾退公租房。</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Chars="200" w:firstLine="640"/>
        <w:jc w:val="both"/>
        <w:textAlignment w:val="auto"/>
        <w:rPr>
          <w:rFonts w:ascii="仿宋" w:eastAsia="仿宋" w:cs="仿宋" w:hAnsi="仿宋" w:hint="eastAsia"/>
          <w:snapToGrid w:val="0"/>
          <w:color w:val="auto"/>
          <w:kern w:val="0"/>
          <w:sz w:val="32"/>
          <w:szCs w:val="32"/>
        </w:rPr>
      </w:pPr>
      <w:r>
        <w:rPr>
          <w:rFonts w:ascii="仿宋" w:eastAsia="仿宋" w:cs="仿宋" w:hAnsi="仿宋" w:hint="eastAsia"/>
          <w:snapToGrid/>
          <w:color w:val="000000"/>
          <w:kern w:val="2"/>
          <w:sz w:val="32"/>
          <w:szCs w:val="32"/>
          <w:lang w:val="en-US" w:eastAsia="zh-CN"/>
        </w:rPr>
        <w:t>市场租金由公租房所有权人(或受委托的运营单位) 委托第三方进行评估，评估结果报市住房保障部门备案。</w:t>
      </w:r>
    </w:p>
    <w:p>
      <w:pPr>
        <w:keepNext w:val="0"/>
        <w:keepLines w:val="0"/>
        <w:pageBreakBefore w:val="0"/>
        <w:widowControl/>
        <w:kinsoku w:val="0"/>
        <w:wordWrap/>
        <w:overflowPunct/>
        <w:topLinePunct w:val="0"/>
        <w:autoSpaceDE w:val="0"/>
        <w:autoSpaceDN w:val="0"/>
        <w:bidi w:val="0"/>
        <w:adjustRightInd w:val="0"/>
        <w:snapToGrid w:val="0"/>
        <w:spacing w:before="5" w:line="560" w:lineRule="exact"/>
        <w:ind w:firstLineChars="200" w:firstLine="624"/>
        <w:jc w:val="left"/>
        <w:textAlignment w:val="baseline"/>
        <w:rPr>
          <w:rFonts w:ascii="黑体" w:eastAsia="黑体" w:cs="黑体" w:hAnsi="黑体" w:hint="eastAsia"/>
          <w:snapToGrid w:val="0"/>
          <w:color w:val="auto"/>
          <w:kern w:val="0"/>
          <w:sz w:val="32"/>
          <w:szCs w:val="32"/>
        </w:rPr>
      </w:pPr>
      <w:r>
        <w:rPr>
          <w:rFonts w:ascii="黑体" w:eastAsia="黑体" w:cs="黑体" w:hAnsi="黑体" w:hint="eastAsia"/>
          <w:snapToGrid w:val="0"/>
          <w:color w:val="auto"/>
          <w:spacing w:val="-4"/>
          <w:kern w:val="0"/>
          <w:sz w:val="32"/>
          <w:szCs w:val="32"/>
        </w:rPr>
        <w:t>八、提升服务水平</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提供公租房“一站办理、一键直达”服务应用场景，通过“数据跑路”提升服务效能，通过“全程网办”规范行政行为。</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推进公租房“一网通办”“一网统管”,统一数据，统一标准，通过数据信息共享，及时更新人员和房屋动态，各部门紧密联动，及时跟踪动态信息，实现公租房全生命周期监管。</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jc w:val="both"/>
        <w:textAlignment w:val="auto"/>
        <w:rPr>
          <w:rFonts w:ascii="仿宋" w:eastAsia="仿宋" w:cs="仿宋" w:hAnsi="仿宋" w:hint="eastAsia"/>
          <w:snapToGrid/>
          <w:color w:val="000000"/>
          <w:kern w:val="2"/>
          <w:sz w:val="32"/>
          <w:szCs w:val="32"/>
          <w:lang w:val="en-US" w:eastAsia="zh-CN"/>
        </w:rPr>
      </w:pPr>
      <w:r>
        <w:rPr>
          <w:rFonts w:ascii="仿宋" w:eastAsia="仿宋" w:cs="仿宋" w:hAnsi="仿宋" w:hint="eastAsia"/>
          <w:snapToGrid/>
          <w:color w:val="000000"/>
          <w:kern w:val="2"/>
          <w:sz w:val="32"/>
          <w:szCs w:val="32"/>
          <w:lang w:val="en-US" w:eastAsia="zh-CN"/>
        </w:rPr>
        <w:t>江北新区、江宁区、浦口区、六合区、溧水区、高淳区可参照本通知执行。</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jc w:val="both"/>
        <w:textAlignment w:val="auto"/>
        <w:rPr>
          <w:rFonts w:ascii="仿宋" w:eastAsia="仿宋" w:cs="仿宋" w:hAnsi="仿宋" w:hint="eastAsia"/>
          <w:snapToGrid/>
          <w:color w:val="000000"/>
          <w:kern w:val="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jc w:val="both"/>
        <w:textAlignment w:val="auto"/>
        <w:rPr>
          <w:rFonts w:ascii="仿宋" w:eastAsia="仿宋" w:cs="仿宋" w:hAnsi="仿宋" w:hint="eastAsia"/>
          <w:snapToGrid/>
          <w:color w:val="000000"/>
          <w:kern w:val="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jc w:val="both"/>
        <w:textAlignment w:val="auto"/>
        <w:rPr>
          <w:rFonts w:ascii="仿宋" w:eastAsia="仿宋" w:cs="仿宋" w:hAnsi="仿宋" w:hint="eastAsia"/>
          <w:snapToGrid/>
          <w:color w:val="000000"/>
          <w:kern w:val="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40"/>
        <w:jc w:val="both"/>
        <w:textAlignment w:val="auto"/>
        <w:rPr>
          <w:rFonts w:ascii="仿宋" w:eastAsia="仿宋" w:cs="仿宋" w:hAnsi="仿宋" w:hint="eastAsia"/>
          <w:snapToGrid/>
          <w:color w:val="000000"/>
          <w:kern w:val="2"/>
          <w:sz w:val="32"/>
          <w:szCs w:val="32"/>
          <w:lang w:val="en-US" w:eastAsia="zh-CN"/>
        </w:rPr>
      </w:pPr>
    </w:p>
    <w:p>
      <w:pPr>
        <w:widowControl/>
        <w:kinsoku w:val="0"/>
        <w:autoSpaceDE w:val="0"/>
        <w:autoSpaceDN w:val="0"/>
        <w:adjustRightInd w:val="0"/>
        <w:snapToGrid w:val="0"/>
        <w:spacing w:before="19" w:line="221" w:lineRule="auto"/>
        <w:ind w:left="20"/>
        <w:jc w:val="left"/>
        <w:textAlignment w:val="baseline"/>
        <w:rPr>
          <w:rFonts w:ascii="仿宋" w:eastAsia="仿宋" w:cs="仿宋" w:hAnsi="仿宋" w:hint="eastAsia"/>
          <w:snapToGrid w:val="0"/>
          <w:color w:val="000000"/>
          <w:spacing w:val="-6"/>
          <w:kern w:val="0"/>
          <w:sz w:val="32"/>
          <w:szCs w:val="32"/>
        </w:rPr>
      </w:pPr>
      <w:r>
        <w:rPr>
          <w:rFonts w:ascii="仿宋" w:eastAsia="仿宋" w:cs="仿宋" w:hAnsi="仿宋" w:hint="eastAsia"/>
          <w:snapToGrid w:val="0"/>
          <w:color w:val="000000"/>
          <w:spacing w:val="-3"/>
          <w:kern w:val="0"/>
          <w:sz w:val="32"/>
          <w:szCs w:val="32"/>
        </w:rPr>
        <w:t>南京市住房保障和房产局</w:t>
      </w:r>
      <w:r>
        <w:rPr>
          <w:rFonts w:ascii="仿宋" w:eastAsia="仿宋" w:cs="仿宋" w:hAnsi="仿宋" w:hint="eastAsia"/>
          <w:snapToGrid w:val="0"/>
          <w:color w:val="000000"/>
          <w:spacing w:val="-3"/>
          <w:kern w:val="0"/>
          <w:sz w:val="32"/>
          <w:szCs w:val="32"/>
          <w:lang w:val="en-US" w:eastAsia="zh-CN"/>
        </w:rPr>
        <w:t xml:space="preserve">                 </w:t>
      </w:r>
      <w:r>
        <w:rPr>
          <w:rFonts w:ascii="仿宋" w:eastAsia="仿宋" w:cs="仿宋" w:hAnsi="仿宋" w:hint="eastAsia"/>
          <w:snapToGrid w:val="0"/>
          <w:color w:val="000000"/>
          <w:spacing w:val="-6"/>
          <w:kern w:val="0"/>
          <w:sz w:val="32"/>
          <w:szCs w:val="32"/>
        </w:rPr>
        <w:t>南京市民政局</w:t>
      </w:r>
    </w:p>
    <w:p>
      <w:pPr>
        <w:widowControl/>
        <w:kinsoku w:val="0"/>
        <w:autoSpaceDE w:val="0"/>
        <w:autoSpaceDN w:val="0"/>
        <w:adjustRightInd w:val="0"/>
        <w:snapToGrid w:val="0"/>
        <w:spacing w:before="19" w:line="221" w:lineRule="auto"/>
        <w:ind w:firstLineChars="1900" w:firstLine="5852"/>
        <w:jc w:val="left"/>
        <w:textAlignment w:val="baseline"/>
        <w:rPr>
          <w:rFonts w:ascii="仿宋" w:eastAsia="仿宋" w:cs="仿宋" w:hAnsi="仿宋" w:hint="eastAsia"/>
          <w:snapToGrid w:val="0"/>
          <w:color w:val="000000"/>
          <w:spacing w:val="-6"/>
          <w:kern w:val="0"/>
          <w:sz w:val="32"/>
          <w:szCs w:val="32"/>
          <w:lang w:val="en-US" w:eastAsia="zh-CN"/>
        </w:rPr>
      </w:pPr>
    </w:p>
    <w:p>
      <w:pPr>
        <w:widowControl/>
        <w:kinsoku w:val="0"/>
        <w:autoSpaceDE w:val="0"/>
        <w:autoSpaceDN w:val="0"/>
        <w:adjustRightInd w:val="0"/>
        <w:snapToGrid w:val="0"/>
        <w:spacing w:before="19" w:line="221" w:lineRule="auto"/>
        <w:ind w:firstLineChars="1900" w:firstLine="5852"/>
        <w:jc w:val="left"/>
        <w:textAlignment w:val="baseline"/>
        <w:rPr>
          <w:rFonts w:ascii="仿宋" w:eastAsia="仿宋" w:cs="仿宋" w:hAnsi="仿宋" w:hint="eastAsia"/>
          <w:snapToGrid w:val="0"/>
          <w:color w:val="000000"/>
          <w:spacing w:val="-6"/>
          <w:kern w:val="0"/>
          <w:sz w:val="32"/>
          <w:szCs w:val="32"/>
          <w:lang w:val="en-US" w:eastAsia="zh-CN"/>
        </w:rPr>
      </w:pPr>
      <w:r>
        <w:rPr>
          <w:rFonts w:ascii="仿宋" w:eastAsia="仿宋" w:cs="仿宋" w:hAnsi="仿宋" w:hint="eastAsia"/>
          <w:snapToGrid w:val="0"/>
          <w:color w:val="000000"/>
          <w:spacing w:val="-6"/>
          <w:kern w:val="0"/>
          <w:sz w:val="32"/>
          <w:szCs w:val="32"/>
          <w:lang w:val="en-US" w:eastAsia="zh-CN"/>
        </w:rPr>
        <w:t>2023年1月31日</w:t>
      </w:r>
    </w:p>
    <w:p>
      <w:pPr>
        <w:widowControl/>
        <w:kinsoku w:val="0"/>
        <w:autoSpaceDE w:val="0"/>
        <w:autoSpaceDN w:val="0"/>
        <w:adjustRightInd w:val="0"/>
        <w:snapToGrid w:val="0"/>
        <w:spacing w:line="240" w:lineRule="auto"/>
        <w:jc w:val="left"/>
        <w:textAlignment w:val="baseline"/>
        <w:rPr>
          <w:rFonts w:ascii="Arial" w:eastAsia="Arial" w:cs="Arial" w:hAnsi="Arial"/>
          <w:snapToGrid w:val="0"/>
          <w:color w:val="000000"/>
          <w:kern w:val="0"/>
          <w:sz w:val="21"/>
          <w:szCs w:val="21"/>
        </w:rPr>
      </w:pPr>
    </w:p>
    <w:p>
      <w:pPr>
        <w:tabs>
          <w:tab w:val="left" w:pos="188"/>
        </w:tabs>
        <w:spacing w:before="91" w:line="221" w:lineRule="auto"/>
        <w:rPr>
          <w:rFonts w:ascii="方正仿宋_GBK" w:eastAsia="方正仿宋_GBK" w:cs="方正仿宋_GBK" w:hAnsi="方正仿宋_GBK" w:hint="eastAsia"/>
          <w:color w:val="auto"/>
          <w:spacing w:val="-16"/>
          <w:sz w:val="32"/>
          <w:szCs w:val="32"/>
          <w:lang w:eastAsia="zh-CN"/>
        </w:rPr>
        <w:sectPr>
          <w:footerReference w:type="default" r:id="rId6"/>
          <w:pgSz w:w="11920" w:h="16850"/>
          <w:pgMar w:top="2098" w:right="1587" w:bottom="1701" w:left="1587" w:header="0" w:footer="1135" w:gutter="0"/>
          <w:pgNumType w:fmt="numberInDash"/>
          <w:cols w:num="1" w:space="720"/>
          <w:docGrid w:linePitch="312" w:charSpace="0"/>
        </w:sectPr>
      </w:pPr>
    </w:p>
    <w:p>
      <w:pPr>
        <w:tabs>
          <w:tab w:val="left" w:pos="9193"/>
          <w:tab w:val="left" w:pos="9827"/>
        </w:tabs>
        <w:autoSpaceDE w:val="0"/>
        <w:autoSpaceDN w:val="0"/>
        <w:snapToGrid w:val="0"/>
        <w:spacing w:line="570" w:lineRule="exact"/>
        <w:jc w:val="center"/>
        <w:rPr>
          <w:rFonts w:ascii="方正小标宋简体" w:eastAsia="方正小标宋简体" w:cs="方正小标宋简体" w:hAnsi="方正小标宋简体"/>
          <w:snapToGrid w:val="0"/>
          <w:kern w:val="0"/>
          <w:sz w:val="44"/>
          <w:szCs w:val="24"/>
        </w:rPr>
      </w:pPr>
      <w:bookmarkStart w:id="11" w:name="正文"/>
      <w:r>
        <w:rPr>
          <w:rFonts w:ascii="方正小标宋简体" w:eastAsia="方正小标宋简体" w:cs="方正小标宋简体" w:hAnsi="方正小标宋简体" w:hint="eastAsia"/>
          <w:snapToGrid w:val="0"/>
          <w:kern w:val="0"/>
          <w:sz w:val="44"/>
          <w:szCs w:val="24"/>
        </w:rPr>
        <w:t>关于印发《南京市房产行政处罚、行政强制</w:t>
      </w:r>
    </w:p>
    <w:p>
      <w:pPr>
        <w:tabs>
          <w:tab w:val="left" w:pos="9193"/>
          <w:tab w:val="left" w:pos="9827"/>
        </w:tabs>
        <w:autoSpaceDE w:val="0"/>
        <w:autoSpaceDN w:val="0"/>
        <w:snapToGrid w:val="0"/>
        <w:spacing w:line="570" w:lineRule="exact"/>
        <w:jc w:val="center"/>
        <w:rPr>
          <w:rFonts w:ascii="方正小标宋简体" w:eastAsia="方正小标宋简体" w:cs="方正小标宋简体" w:hAnsi="方正小标宋简体"/>
          <w:snapToGrid w:val="0"/>
          <w:kern w:val="0"/>
          <w:sz w:val="44"/>
          <w:szCs w:val="44"/>
        </w:rPr>
      </w:pPr>
      <w:r>
        <w:rPr>
          <w:rFonts w:ascii="方正小标宋简体" w:eastAsia="方正小标宋简体" w:cs="方正小标宋简体" w:hAnsi="方正小标宋简体" w:hint="eastAsia"/>
          <w:snapToGrid w:val="0"/>
          <w:kern w:val="0"/>
          <w:sz w:val="44"/>
          <w:szCs w:val="24"/>
        </w:rPr>
        <w:t>裁量基准（市定事项）》的通知</w:t>
      </w:r>
    </w:p>
    <w:p>
      <w:pPr>
        <w:widowControl/>
        <w:tabs>
          <w:tab w:val="left" w:pos="4253"/>
        </w:tabs>
        <w:spacing w:line="640" w:lineRule="exact"/>
        <w:jc w:val="center"/>
        <w:rPr>
          <w:rFonts w:ascii="仿宋_GB2312" w:eastAsia="仿宋_GB2312" w:cs="仿宋_GB2312" w:hAnsi="仿宋_GB2312" w:hint="eastAsia"/>
          <w:sz w:val="32"/>
          <w:szCs w:val="32"/>
        </w:rPr>
      </w:pPr>
      <w:r>
        <w:rPr>
          <w:rFonts w:ascii="仿宋_GB2312" w:eastAsia="仿宋_GB2312" w:cs="仿宋_GB2312" w:hAnsi="仿宋_GB2312" w:hint="eastAsia"/>
          <w:sz w:val="32"/>
          <w:szCs w:val="32"/>
        </w:rPr>
        <w:t>宁房规字〔2023〕1号</w:t>
      </w:r>
    </w:p>
    <w:p>
      <w:pPr>
        <w:widowControl/>
        <w:tabs>
          <w:tab w:val="left" w:pos="4253"/>
        </w:tabs>
        <w:spacing w:line="640" w:lineRule="exact"/>
        <w:jc w:val="center"/>
        <w:rPr>
          <w:rFonts w:ascii="Times New Roman" w:eastAsia="仿宋_GB2312" w:hAnsi="Times New Roman"/>
          <w:kern w:val="0"/>
          <w:sz w:val="32"/>
          <w:szCs w:val="32"/>
        </w:rPr>
      </w:pPr>
    </w:p>
    <w:p>
      <w:pPr>
        <w:tabs>
          <w:tab w:val="left" w:pos="9193"/>
          <w:tab w:val="left" w:pos="9827"/>
        </w:tabs>
        <w:autoSpaceDE w:val="0"/>
        <w:autoSpaceDN w:val="0"/>
        <w:snapToGrid w:val="0"/>
        <w:spacing w:line="640" w:lineRule="exact"/>
        <w:rPr>
          <w:rFonts w:ascii="Times New Roman" w:eastAsia="仿宋_GB2312" w:hAnsi="Times New Roman"/>
          <w:snapToGrid w:val="0"/>
          <w:kern w:val="0"/>
          <w:sz w:val="32"/>
          <w:szCs w:val="24"/>
        </w:rPr>
      </w:pPr>
      <w:r>
        <w:rPr>
          <w:rFonts w:ascii="Times New Roman" w:eastAsia="仿宋_GB2312" w:hAnsi="Times New Roman"/>
          <w:snapToGrid w:val="0"/>
          <w:kern w:val="0"/>
          <w:sz w:val="32"/>
          <w:szCs w:val="24"/>
        </w:rPr>
        <w:t>各区房产（住建）局、江北新区建交局，机关各处室、局属各单位：</w:t>
      </w:r>
    </w:p>
    <w:p>
      <w:pPr>
        <w:tabs>
          <w:tab w:val="left" w:pos="9193"/>
          <w:tab w:val="left" w:pos="9827"/>
        </w:tabs>
        <w:autoSpaceDE w:val="0"/>
        <w:autoSpaceDN w:val="0"/>
        <w:snapToGrid w:val="0"/>
        <w:spacing w:line="640" w:lineRule="exact"/>
        <w:ind w:firstLineChars="200" w:firstLine="640"/>
        <w:rPr>
          <w:rFonts w:ascii="Times New Roman" w:eastAsia="仿宋_GB2312" w:hAnsi="Times New Roman"/>
          <w:snapToGrid w:val="0"/>
          <w:kern w:val="0"/>
          <w:sz w:val="32"/>
          <w:szCs w:val="24"/>
        </w:rPr>
      </w:pPr>
      <w:r>
        <w:rPr>
          <w:rFonts w:ascii="Times New Roman" w:eastAsia="仿宋_GB2312" w:hAnsi="Times New Roman"/>
          <w:snapToGrid w:val="0"/>
          <w:kern w:val="0"/>
          <w:sz w:val="32"/>
          <w:szCs w:val="24"/>
        </w:rPr>
        <w:t>为贯彻落实《省政府办公厅关于统筹推进行政裁量权基准制定和管理工作的通知》（苏政办发〔2023〕1号）和《市司法局关于统筹推进行政裁量权基准制定和管理工作的通知》有关要求，进一步规范我市房产行政执法裁量尺度，促进公开、公平、公正执法，提升执法公信力和保障行政执法相对人的合法权益，我局对《南京市住宅物业管理条例》、《南京市房屋租赁管理办法》、《南京市重要近现代建筑和近现代建筑风貌区保护条例》设定的行政处罚和《南京市房屋使用安全管理条例》设定的行政强制措施，研究制定了《南京市房产行政处罚、行政强制裁量基准（市定事项）》，现印发给你们，请结合工作实际遵照执行。</w:t>
      </w:r>
    </w:p>
    <w:p>
      <w:pPr>
        <w:tabs>
          <w:tab w:val="left" w:pos="9193"/>
          <w:tab w:val="left" w:pos="9827"/>
        </w:tabs>
        <w:autoSpaceDE w:val="0"/>
        <w:autoSpaceDN w:val="0"/>
        <w:snapToGrid w:val="0"/>
        <w:spacing w:line="640" w:lineRule="exact"/>
        <w:ind w:firstLineChars="200" w:firstLine="640"/>
        <w:rPr>
          <w:rFonts w:ascii="Times New Roman" w:eastAsia="仿宋_GB2312" w:hAnsi="Times New Roman"/>
          <w:snapToGrid w:val="0"/>
          <w:kern w:val="0"/>
          <w:sz w:val="32"/>
          <w:szCs w:val="24"/>
        </w:rPr>
      </w:pPr>
      <w:r>
        <w:rPr>
          <w:rFonts w:ascii="Times New Roman" w:eastAsia="仿宋_GB2312" w:hAnsi="Times New Roman"/>
          <w:snapToGrid w:val="0"/>
          <w:kern w:val="0"/>
          <w:sz w:val="32"/>
          <w:szCs w:val="24"/>
        </w:rPr>
        <w:t>本基准自2023年9月1日起施行，有效期至2028年8月31日。</w:t>
      </w:r>
    </w:p>
    <w:p>
      <w:pPr>
        <w:spacing w:line="0" w:lineRule="atLeast"/>
        <w:rPr>
          <w:rFonts w:eastAsia="仿宋_GB2312"/>
        </w:rPr>
      </w:pPr>
    </w:p>
    <w:p>
      <w:pPr>
        <w:spacing w:line="0" w:lineRule="atLeast"/>
        <w:rPr>
          <w:rFonts w:eastAsia="仿宋_GB2312"/>
        </w:rPr>
      </w:pPr>
    </w:p>
    <w:p>
      <w:pPr>
        <w:spacing w:line="0" w:lineRule="atLeast"/>
        <w:rPr>
          <w:rFonts w:eastAsia="仿宋_GB2312"/>
        </w:rPr>
      </w:pPr>
    </w:p>
    <w:p>
      <w:pPr>
        <w:spacing w:line="0" w:lineRule="atLeast"/>
        <w:ind w:right="-74"/>
        <w:rPr>
          <w:rFonts w:ascii="Times Roman" w:eastAsia="仿宋_GB2312" w:hAnsi="Times Roman"/>
          <w:sz w:val="32"/>
          <w:szCs w:val="32"/>
        </w:rPr>
      </w:pPr>
      <w:r>
        <w:rPr>
          <w:rFonts w:ascii="Times Roman" w:eastAsia="仿宋_GB2312" w:hAnsi="Times Roman" w:hint="eastAsia"/>
          <w:sz w:val="32"/>
          <w:szCs w:val="32"/>
        </w:rPr>
        <w:t>　　　　　　　　　　　　　南京市住房保障和房产局</w:t>
      </w:r>
    </w:p>
    <w:p>
      <w:pPr>
        <w:spacing w:line="0" w:lineRule="atLeast"/>
        <w:ind w:firstLineChars="1631" w:firstLine="5219"/>
        <w:rPr>
          <w:rFonts w:ascii="Times Roman" w:eastAsia="仿宋_GB2312" w:hAnsi="Times Roman"/>
          <w:sz w:val="32"/>
          <w:szCs w:val="32"/>
        </w:rPr>
      </w:pPr>
      <w:r>
        <w:rPr>
          <w:rFonts w:ascii="Times Roman" w:eastAsia="仿宋_GB2312" w:hAnsi="Times Roman"/>
          <w:sz w:val="32"/>
          <w:szCs w:val="32"/>
        </w:rPr>
        <w:t>20</w:t>
      </w:r>
      <w:r>
        <w:rPr>
          <w:rFonts w:ascii="Times Roman" w:eastAsia="仿宋_GB2312" w:hAnsi="Times Roman" w:hint="eastAsia"/>
          <w:sz w:val="32"/>
          <w:szCs w:val="32"/>
        </w:rPr>
        <w:t>23</w:t>
      </w:r>
      <w:r>
        <w:rPr>
          <w:rFonts w:ascii="Times Roman" w:eastAsia="仿宋_GB2312" w:hAnsi="Times Roman" w:hint="eastAsia"/>
          <w:sz w:val="32"/>
          <w:szCs w:val="32"/>
        </w:rPr>
        <w:t>年7月27日</w:t>
      </w:r>
    </w:p>
    <w:p>
      <w:pPr>
        <w:spacing w:line="0" w:lineRule="atLeast"/>
        <w:ind w:firstLineChars="1631" w:firstLine="5219"/>
        <w:rPr>
          <w:rFonts w:ascii="Times Roman" w:eastAsia="仿宋_GB2312" w:hAnsi="Times Roman"/>
          <w:sz w:val="32"/>
          <w:szCs w:val="32"/>
        </w:rPr>
      </w:pPr>
    </w:p>
    <w:p>
      <w:pPr>
        <w:sectPr>
          <w:footerReference w:type="default" r:id="rId8"/>
          <w:pgSz w:w="11906" w:h="16838"/>
          <w:pgMar w:top="2098" w:right="1474" w:bottom="1984" w:left="1587" w:header="851" w:footer="992" w:gutter="0"/>
          <w:pgNumType/>
          <w:cols w:num="1" w:space="425"/>
          <w:docGrid w:type="lines" w:linePitch="312" w:charSpace="0"/>
        </w:sectPr>
      </w:pPr>
      <w:bookmarkEnd w:id="11"/>
    </w:p>
    <w:p>
      <w:pPr>
        <w:widowControl/>
        <w:spacing w:line="360" w:lineRule="auto"/>
        <w:jc w:val="center"/>
        <w:rPr>
          <w:rFonts w:ascii="方正小标宋_GBK" w:eastAsia="方正小标宋_GBK"/>
          <w:snapToGrid w:val="0"/>
          <w:color w:val="000000"/>
          <w:kern w:val="0"/>
          <w:sz w:val="32"/>
          <w:szCs w:val="32"/>
        </w:rPr>
      </w:pPr>
      <w:r>
        <w:rPr>
          <w:rFonts w:ascii="方正小标宋_GBK" w:eastAsia="方正小标宋_GBK" w:hint="eastAsia"/>
          <w:snapToGrid w:val="0"/>
          <w:color w:val="000000"/>
          <w:kern w:val="0"/>
          <w:sz w:val="44"/>
          <w:szCs w:val="44"/>
        </w:rPr>
        <w:t>南京市房产行政处罚、行政强制裁量基准（市定事项）</w:t>
      </w:r>
    </w:p>
    <w:p>
      <w:pPr>
        <w:widowControl/>
        <w:jc w:val="center"/>
      </w:pPr>
      <w:r>
        <w:rPr>
          <w:rFonts w:ascii="方正小标宋_GBK" w:eastAsia="方正小标宋_GBK" w:hint="eastAsia"/>
          <w:snapToGrid w:val="0"/>
          <w:color w:val="000000"/>
          <w:kern w:val="0"/>
          <w:sz w:val="32"/>
          <w:szCs w:val="32"/>
        </w:rPr>
        <w:t>一、物业管理类</w:t>
      </w:r>
    </w:p>
    <w:tbl>
      <w:tblPr>
        <w:jc w:val="left"/>
        <w:tblInd w:w="8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721"/>
        <w:gridCol w:w="2025"/>
        <w:gridCol w:w="4001"/>
        <w:gridCol w:w="1901"/>
        <w:gridCol w:w="4374"/>
      </w:tblGrid>
      <w:tr>
        <w:trPr>
          <w:trHeight w:val="285"/>
        </w:trPr>
        <w:tc>
          <w:tcPr>
            <w:tcW w:w="1721" w:type="dxa"/>
            <w:tcBorders>
              <w:top w:val="single" w:sz="8" w:space="0" w:color="auto"/>
              <w:left w:val="single" w:sz="8" w:space="0" w:color="auto"/>
              <w:bottom w:val="single" w:sz="4" w:space="0" w:color="auto"/>
              <w:right w:val="single" w:sz="4"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行为名称</w:t>
            </w:r>
          </w:p>
        </w:tc>
        <w:tc>
          <w:tcPr>
            <w:tcW w:w="12301" w:type="dxa"/>
            <w:gridSpan w:val="4"/>
            <w:tcBorders>
              <w:top w:val="single" w:sz="8" w:space="0" w:color="auto"/>
              <w:left w:val="nil"/>
              <w:bottom w:val="single" w:sz="4" w:space="0" w:color="auto"/>
              <w:right w:val="single" w:sz="8" w:space="0" w:color="000000"/>
            </w:tcBorders>
            <w:vAlign w:val="center"/>
          </w:tcPr>
          <w:p>
            <w:pPr>
              <w:spacing w:line="360" w:lineRule="exact"/>
              <w:rPr>
                <w:rFonts w:ascii="仿宋" w:eastAsia="仿宋" w:cs="仿宋" w:hAnsi="仿宋"/>
                <w:sz w:val="24"/>
              </w:rPr>
            </w:pPr>
            <w:r>
              <w:rPr>
                <w:rFonts w:ascii="仿宋" w:eastAsia="仿宋" w:cs="仿宋" w:hAnsi="仿宋" w:hint="eastAsia"/>
                <w:b/>
                <w:bCs/>
                <w:sz w:val="24"/>
              </w:rPr>
              <w:t>对物业服务第三方评估机构出具的评估报告具有虚假内容、误导性陈述、重大遗漏的处罚</w:t>
            </w:r>
          </w:p>
        </w:tc>
      </w:tr>
      <w:tr>
        <w:trPr>
          <w:trHeight w:val="285"/>
        </w:trPr>
        <w:tc>
          <w:tcPr>
            <w:tcW w:w="1721" w:type="dxa"/>
            <w:tcBorders>
              <w:top w:val="nil"/>
              <w:left w:val="single" w:sz="8" w:space="0" w:color="auto"/>
              <w:bottom w:val="single" w:sz="4" w:space="0" w:color="auto"/>
              <w:right w:val="single" w:sz="4"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法律依据</w:t>
            </w:r>
          </w:p>
        </w:tc>
        <w:tc>
          <w:tcPr>
            <w:tcW w:w="12301" w:type="dxa"/>
            <w:gridSpan w:val="4"/>
            <w:tcBorders>
              <w:top w:val="single" w:sz="4" w:space="0" w:color="auto"/>
              <w:left w:val="nil"/>
              <w:bottom w:val="single" w:sz="4" w:space="0" w:color="auto"/>
              <w:right w:val="single" w:sz="8" w:space="0" w:color="000000"/>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【地方性法规】《南京市住宅物业管理条例》</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第七十条  物业服务第三方评估机构违反本条例规定，出具的评估报告具有虚假内容、误导性陈述、重大遗漏的，由市物业管理行政主管部门责令限期改正，没收违法所得，处三万元以上五万元以下罚款，并予以公示；造成当事人损失的，应当承担相应的赔偿责任；构成犯罪的，依法追究刑事责任。</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 xml:space="preserve">第六条  本市建立物业服务第三方评估制度。业主自治组织、建设单位、物业服务企业可以委托物业服务第三方评估机构，开展物业项目交接和查验、物业服务标准和费用测算、物业服务质量评估等活动。 </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 xml:space="preserve">物业服务第三方评估机构应当依照法律、法规和合同约定提供专业服务，出具的评估报告应当真实、客观、全面。 </w:t>
            </w:r>
          </w:p>
        </w:tc>
      </w:tr>
      <w:tr>
        <w:trPr>
          <w:trHeight w:val="285"/>
        </w:trPr>
        <w:tc>
          <w:tcPr>
            <w:tcW w:w="1721"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处罚种类</w:t>
            </w:r>
          </w:p>
        </w:tc>
        <w:tc>
          <w:tcPr>
            <w:tcW w:w="12301" w:type="dxa"/>
            <w:gridSpan w:val="4"/>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没收违法所得，罚款</w:t>
            </w:r>
          </w:p>
        </w:tc>
      </w:tr>
      <w:tr>
        <w:trPr>
          <w:trHeight w:val="445"/>
        </w:trPr>
        <w:tc>
          <w:tcPr>
            <w:tcW w:w="14022" w:type="dxa"/>
            <w:gridSpan w:val="5"/>
            <w:tcBorders>
              <w:top w:val="single" w:sz="4" w:space="0" w:color="auto"/>
              <w:left w:val="single" w:sz="4" w:space="0" w:color="auto"/>
              <w:bottom w:val="single" w:sz="4" w:space="0" w:color="auto"/>
              <w:right w:val="single" w:sz="8" w:space="0" w:color="000000"/>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自由裁量基准</w:t>
            </w:r>
          </w:p>
        </w:tc>
      </w:tr>
      <w:tr>
        <w:trPr>
          <w:trHeight w:val="445"/>
        </w:trPr>
        <w:tc>
          <w:tcPr>
            <w:tcW w:w="1721" w:type="dxa"/>
            <w:vMerge w:val="restart"/>
            <w:tcBorders>
              <w:top w:val="single" w:sz="4" w:space="0" w:color="auto"/>
              <w:left w:val="single" w:sz="4" w:space="0" w:color="auto"/>
              <w:bottom w:val="single" w:sz="4" w:space="0" w:color="auto"/>
              <w:right w:val="single" w:sz="4" w:space="0" w:color="auto"/>
            </w:tcBorders>
            <w:vAlign w:val="center"/>
          </w:tcPr>
          <w:p>
            <w:pPr>
              <w:widowControl/>
              <w:spacing w:line="360" w:lineRule="exact"/>
              <w:ind w:firstLineChars="100" w:firstLine="240"/>
              <w:jc w:val="left"/>
              <w:rPr>
                <w:rFonts w:ascii="仿宋" w:eastAsia="仿宋" w:cs="仿宋" w:hAnsi="仿宋"/>
                <w:color w:val="000000"/>
                <w:kern w:val="0"/>
                <w:sz w:val="24"/>
              </w:rPr>
            </w:pPr>
            <w:r>
              <w:rPr>
                <w:rFonts w:ascii="仿宋" w:eastAsia="仿宋" w:cs="仿宋" w:hAnsi="仿宋" w:hint="eastAsia"/>
                <w:color w:val="000000"/>
                <w:kern w:val="0"/>
                <w:sz w:val="24"/>
              </w:rPr>
              <w:t>情形描述</w:t>
            </w:r>
          </w:p>
        </w:tc>
        <w:tc>
          <w:tcPr>
            <w:tcW w:w="2025" w:type="dxa"/>
            <w:vMerge w:val="restart"/>
            <w:tcBorders>
              <w:top w:val="single" w:sz="4" w:space="0" w:color="auto"/>
              <w:left w:val="single" w:sz="4" w:space="0" w:color="auto"/>
              <w:bottom w:val="single" w:sz="4" w:space="0" w:color="auto"/>
              <w:right w:val="single" w:sz="4" w:space="0" w:color="auto"/>
            </w:tcBorders>
            <w:vAlign w:val="center"/>
          </w:tcPr>
          <w:p>
            <w:pPr>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出具的评估报告具有虚假内容、误导性陈述、重大遗漏</w:t>
            </w:r>
          </w:p>
        </w:tc>
        <w:tc>
          <w:tcPr>
            <w:tcW w:w="4001"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导致评估结果偏差或对实现评估目的的有关判断有明显误导的</w:t>
            </w:r>
          </w:p>
        </w:tc>
        <w:tc>
          <w:tcPr>
            <w:tcW w:w="1901" w:type="dxa"/>
            <w:vMerge w:val="restart"/>
            <w:tcBorders>
              <w:top w:val="single" w:sz="4" w:space="0" w:color="auto"/>
              <w:left w:val="single" w:sz="4" w:space="0" w:color="auto"/>
              <w:bottom w:val="single" w:sz="4" w:space="0" w:color="auto"/>
              <w:right w:val="single" w:sz="4"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裁量幅度</w:t>
            </w:r>
          </w:p>
        </w:tc>
        <w:tc>
          <w:tcPr>
            <w:tcW w:w="4374"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没收违法所得，处三万元以上四万元以下罚款</w:t>
            </w:r>
          </w:p>
        </w:tc>
      </w:tr>
      <w:tr>
        <w:trPr>
          <w:trHeight w:val="285"/>
        </w:trPr>
        <w:tc>
          <w:tcPr>
            <w:tcW w:w="1721" w:type="dxa"/>
            <w:vMerge/>
            <w:tcBorders>
              <w:top w:val="single" w:sz="4" w:space="0" w:color="auto"/>
              <w:left w:val="single" w:sz="4" w:space="0" w:color="auto"/>
              <w:bottom w:val="single" w:sz="4" w:space="0" w:color="auto"/>
              <w:right w:val="single" w:sz="4" w:space="0" w:color="auto"/>
            </w:tcBorders>
            <w:vAlign w:val="center"/>
          </w:tcPr>
          <w:p/>
        </w:tc>
        <w:tc>
          <w:tcPr>
            <w:tcW w:w="2025" w:type="dxa"/>
            <w:vMerge/>
            <w:tcBorders>
              <w:top w:val="single" w:sz="4" w:space="0" w:color="auto"/>
              <w:left w:val="single" w:sz="4" w:space="0" w:color="auto"/>
              <w:bottom w:val="single" w:sz="4" w:space="0" w:color="auto"/>
              <w:right w:val="single" w:sz="4" w:space="0" w:color="auto"/>
            </w:tcBorders>
            <w:vAlign w:val="center"/>
          </w:tcPr>
          <w:p/>
        </w:tc>
        <w:tc>
          <w:tcPr>
            <w:tcW w:w="4001"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导致评估结果严重背离实际情况或对实现评估目的的有关判断有重大误导的</w:t>
            </w:r>
          </w:p>
        </w:tc>
        <w:tc>
          <w:tcPr>
            <w:tcW w:w="1901" w:type="dxa"/>
            <w:vMerge/>
            <w:tcBorders>
              <w:top w:val="single" w:sz="4" w:space="0" w:color="auto"/>
              <w:left w:val="single" w:sz="4" w:space="0" w:color="auto"/>
              <w:bottom w:val="single" w:sz="4" w:space="0" w:color="auto"/>
              <w:right w:val="single" w:sz="4" w:space="0" w:color="auto"/>
            </w:tcBorders>
            <w:vAlign w:val="center"/>
          </w:tcPr>
          <w:p/>
        </w:tc>
        <w:tc>
          <w:tcPr>
            <w:tcW w:w="4374"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没收违法所得，处四万元以上五万元以下罚款</w:t>
            </w:r>
          </w:p>
        </w:tc>
      </w:tr>
    </w:tbl>
    <w:p>
      <w:pPr>
        <w:spacing w:line="360" w:lineRule="exact"/>
        <w:rPr>
          <w:rFonts w:ascii="仿宋" w:eastAsia="仿宋" w:cs="仿宋" w:hAnsi="仿宋"/>
        </w:rPr>
      </w:pPr>
    </w:p>
    <w:tbl>
      <w:tblPr>
        <w:jc w:val="left"/>
        <w:tblInd w:w="8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721"/>
        <w:gridCol w:w="6015"/>
        <w:gridCol w:w="2002"/>
        <w:gridCol w:w="4284"/>
      </w:tblGrid>
      <w:tr>
        <w:trPr>
          <w:trHeight w:val="285"/>
        </w:trPr>
        <w:tc>
          <w:tcPr>
            <w:tcW w:w="1721" w:type="dxa"/>
            <w:tcBorders>
              <w:top w:val="single" w:sz="8" w:space="0" w:color="auto"/>
              <w:left w:val="single" w:sz="8" w:space="0" w:color="auto"/>
              <w:bottom w:val="single" w:sz="8" w:space="0" w:color="auto"/>
              <w:right w:val="single" w:sz="4"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行为名称</w:t>
            </w:r>
          </w:p>
        </w:tc>
        <w:tc>
          <w:tcPr>
            <w:tcW w:w="12301" w:type="dxa"/>
            <w:gridSpan w:val="3"/>
            <w:tcBorders>
              <w:top w:val="single" w:sz="8" w:space="0" w:color="auto"/>
              <w:left w:val="nil"/>
              <w:bottom w:val="single" w:sz="8" w:space="0" w:color="auto"/>
              <w:right w:val="single" w:sz="8" w:space="0" w:color="000000"/>
            </w:tcBorders>
            <w:vAlign w:val="center"/>
          </w:tcPr>
          <w:p>
            <w:pPr>
              <w:spacing w:line="360" w:lineRule="exact"/>
              <w:rPr>
                <w:rFonts w:ascii="仿宋" w:eastAsia="仿宋" w:cs="仿宋" w:hAnsi="仿宋"/>
                <w:sz w:val="24"/>
              </w:rPr>
            </w:pPr>
            <w:r>
              <w:rPr>
                <w:rFonts w:ascii="仿宋" w:eastAsia="仿宋" w:cs="仿宋" w:hAnsi="仿宋" w:hint="eastAsia"/>
                <w:b/>
                <w:bCs/>
                <w:sz w:val="24"/>
              </w:rPr>
              <w:t>对建设单位未按照要求报送筹备首次业主大会会议所需的文件资料或者未移交物业服务相关资料的处罚</w:t>
            </w:r>
          </w:p>
        </w:tc>
      </w:tr>
      <w:tr>
        <w:trPr>
          <w:trHeight w:val="1305"/>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60" w:lineRule="exact"/>
              <w:rPr>
                <w:rFonts w:ascii="仿宋" w:eastAsia="仿宋" w:cs="仿宋" w:hAnsi="仿宋"/>
                <w:color w:val="000000"/>
                <w:kern w:val="0"/>
                <w:sz w:val="24"/>
              </w:rPr>
            </w:pPr>
          </w:p>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法律依据</w:t>
            </w:r>
          </w:p>
        </w:tc>
        <w:tc>
          <w:tcPr>
            <w:tcW w:w="12301" w:type="dxa"/>
            <w:gridSpan w:val="3"/>
            <w:tcBorders>
              <w:top w:val="single" w:sz="8" w:space="0" w:color="auto"/>
              <w:left w:val="single" w:sz="8" w:space="0" w:color="auto"/>
              <w:bottom w:val="single" w:sz="8" w:space="0" w:color="auto"/>
              <w:right w:val="single" w:sz="8" w:space="0" w:color="auto"/>
            </w:tcBorders>
            <w:vAlign w:val="center"/>
          </w:tcPr>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 xml:space="preserve">【地方性法规】《南京市住宅物业管理条例》 </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第七十三条  建设单位违反本条例规定，有下列情形之一的，由区物业管理行政主管部门责令限期改正；逾期不改正的，按照下列规定进行处罚：</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违反本条例第九条第一款、第四十条规定，未按照要求报送筹备首次业主大会会议所需的文件资料或者未移交物业服务相关资料的，处五万元以上十万元以下罚款。</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第九条第一款 符合业主大会成立条件的，建设单位应当向街道办事处（镇人民政府）报送筹备首次业主大会会议所需的文件资料。</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第四十条  建设单位与物业买受人签订的商品房销售合同应当约定其所交付物业的共用部位、共用设施设备的配置和建设标准。</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 xml:space="preserve">物业服务企业承接物业前，应当与建设单位按照合同约定共同对住宅物业管理区域内的物业共用部位、共用设施设备进行检查和验收，并邀请物业所在地的区物业管理行政主管部门、街道办事处（镇人民政府）参加。建设单位应当在现场查验二十日前向物业服务企业移交下列资料： </w:t>
            </w:r>
          </w:p>
          <w:p>
            <w:pPr>
              <w:widowControl/>
              <w:spacing w:line="360" w:lineRule="exact"/>
              <w:ind w:leftChars="200" w:left="420"/>
              <w:jc w:val="left"/>
              <w:rPr>
                <w:rFonts w:ascii="仿宋" w:eastAsia="仿宋" w:cs="仿宋" w:hAnsi="仿宋"/>
                <w:color w:val="000000"/>
                <w:kern w:val="0"/>
                <w:sz w:val="24"/>
              </w:rPr>
            </w:pPr>
            <w:r>
              <w:rPr>
                <w:rFonts w:ascii="仿宋" w:eastAsia="仿宋" w:cs="仿宋" w:hAnsi="仿宋" w:hint="eastAsia"/>
                <w:color w:val="000000"/>
                <w:kern w:val="0"/>
                <w:sz w:val="24"/>
              </w:rPr>
              <w:t xml:space="preserve">（一）规划、竣工总平面图，单体建筑、结构、设备竣工图，配套设施、地下管网工程竣工图等竣工验收资料； </w:t>
            </w:r>
          </w:p>
          <w:p>
            <w:pPr>
              <w:widowControl/>
              <w:spacing w:line="360" w:lineRule="exact"/>
              <w:ind w:leftChars="200" w:left="420"/>
              <w:jc w:val="left"/>
              <w:rPr>
                <w:rFonts w:ascii="仿宋" w:eastAsia="仿宋" w:cs="仿宋" w:hAnsi="仿宋"/>
                <w:color w:val="000000"/>
                <w:kern w:val="0"/>
                <w:sz w:val="24"/>
              </w:rPr>
            </w:pPr>
            <w:r>
              <w:rPr>
                <w:rFonts w:ascii="仿宋" w:eastAsia="仿宋" w:cs="仿宋" w:hAnsi="仿宋" w:hint="eastAsia"/>
                <w:color w:val="000000"/>
                <w:kern w:val="0"/>
                <w:sz w:val="24"/>
              </w:rPr>
              <w:t>（二）环境影响评价报告及审批、验收等环境保护资料；</w:t>
            </w:r>
          </w:p>
          <w:p>
            <w:pPr>
              <w:widowControl/>
              <w:spacing w:line="360" w:lineRule="exact"/>
              <w:ind w:leftChars="200" w:left="420"/>
              <w:jc w:val="left"/>
              <w:rPr>
                <w:rFonts w:ascii="仿宋" w:eastAsia="仿宋" w:cs="仿宋" w:hAnsi="仿宋"/>
                <w:color w:val="000000"/>
                <w:kern w:val="0"/>
                <w:sz w:val="24"/>
              </w:rPr>
            </w:pPr>
            <w:r>
              <w:rPr>
                <w:rFonts w:ascii="仿宋" w:eastAsia="仿宋" w:cs="仿宋" w:hAnsi="仿宋" w:hint="eastAsia"/>
                <w:color w:val="000000"/>
                <w:kern w:val="0"/>
                <w:sz w:val="24"/>
              </w:rPr>
              <w:t xml:space="preserve">（三）共用设施设备的清单及安装、使用和维护保养等技术资料； </w:t>
            </w:r>
          </w:p>
          <w:p>
            <w:pPr>
              <w:widowControl/>
              <w:spacing w:line="360" w:lineRule="exact"/>
              <w:ind w:leftChars="200" w:left="420"/>
              <w:jc w:val="left"/>
              <w:rPr>
                <w:rFonts w:ascii="仿宋" w:eastAsia="仿宋" w:cs="仿宋" w:hAnsi="仿宋"/>
                <w:color w:val="000000"/>
                <w:kern w:val="0"/>
                <w:sz w:val="24"/>
              </w:rPr>
            </w:pPr>
            <w:r>
              <w:rPr>
                <w:rFonts w:ascii="仿宋" w:eastAsia="仿宋" w:cs="仿宋" w:hAnsi="仿宋" w:hint="eastAsia"/>
                <w:color w:val="000000"/>
                <w:kern w:val="0"/>
                <w:sz w:val="24"/>
              </w:rPr>
              <w:t xml:space="preserve">（四）物业质量保修文件和物业使用说明文件； </w:t>
            </w:r>
          </w:p>
          <w:p>
            <w:pPr>
              <w:widowControl/>
              <w:spacing w:line="360" w:lineRule="exact"/>
              <w:ind w:leftChars="200" w:left="420"/>
              <w:jc w:val="left"/>
              <w:rPr>
                <w:rFonts w:ascii="仿宋" w:eastAsia="仿宋" w:cs="仿宋" w:hAnsi="仿宋"/>
                <w:color w:val="000000"/>
                <w:kern w:val="0"/>
                <w:sz w:val="24"/>
              </w:rPr>
            </w:pPr>
            <w:r>
              <w:rPr>
                <w:rFonts w:ascii="仿宋" w:eastAsia="仿宋" w:cs="仿宋" w:hAnsi="仿宋" w:hint="eastAsia"/>
                <w:color w:val="000000"/>
                <w:kern w:val="0"/>
                <w:sz w:val="24"/>
              </w:rPr>
              <w:t>（五）业主名册；</w:t>
            </w:r>
          </w:p>
          <w:p>
            <w:pPr>
              <w:widowControl/>
              <w:spacing w:line="360" w:lineRule="exact"/>
              <w:ind w:leftChars="200" w:left="420"/>
              <w:jc w:val="left"/>
              <w:rPr>
                <w:rFonts w:ascii="仿宋" w:eastAsia="仿宋" w:cs="仿宋" w:hAnsi="仿宋"/>
                <w:color w:val="000000"/>
                <w:kern w:val="0"/>
                <w:sz w:val="24"/>
              </w:rPr>
            </w:pPr>
            <w:r>
              <w:rPr>
                <w:rFonts w:ascii="仿宋" w:eastAsia="仿宋" w:cs="仿宋" w:hAnsi="仿宋" w:hint="eastAsia"/>
                <w:color w:val="000000"/>
                <w:kern w:val="0"/>
                <w:sz w:val="24"/>
              </w:rPr>
              <w:t xml:space="preserve">（六）物业服务所必需的其他资料。 </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未能全部移交前款所列资料的，建设单位应当列出未移交资料的详细清单，并书面承诺补交的具体期限，最长不超过十日。</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承接查验后，建设单位应当与物业服务企业签订物业承接查验协议，对物业承接查验基本情况、存在问题、解决方法及其时限、双方权利义务、违约责任等事项作出约定。</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物业承接查验协议作为前期物业服务合同的补充协议，与前期物业服务合同具有同等法律效力。</w:t>
            </w:r>
          </w:p>
        </w:tc>
      </w:tr>
      <w:tr>
        <w:trPr>
          <w:trHeight w:val="285"/>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处罚种类</w:t>
            </w:r>
          </w:p>
        </w:tc>
        <w:tc>
          <w:tcPr>
            <w:tcW w:w="12301" w:type="dxa"/>
            <w:gridSpan w:val="3"/>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罚款</w:t>
            </w:r>
          </w:p>
        </w:tc>
      </w:tr>
      <w:tr>
        <w:trPr>
          <w:trHeight w:val="285"/>
        </w:trPr>
        <w:tc>
          <w:tcPr>
            <w:tcW w:w="14022" w:type="dxa"/>
            <w:gridSpan w:val="4"/>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自由裁量基准</w:t>
            </w:r>
          </w:p>
        </w:tc>
      </w:tr>
      <w:tr>
        <w:trPr>
          <w:trHeight w:val="222"/>
        </w:trPr>
        <w:tc>
          <w:tcPr>
            <w:tcW w:w="1721" w:type="dxa"/>
            <w:vMerge w:val="restart"/>
            <w:tcBorders>
              <w:top w:val="single" w:sz="4" w:space="0" w:color="auto"/>
              <w:left w:val="single" w:sz="4" w:space="0" w:color="auto"/>
              <w:right w:val="single" w:sz="4" w:space="0" w:color="auto"/>
            </w:tcBorders>
            <w:vAlign w:val="center"/>
          </w:tcPr>
          <w:p>
            <w:pPr>
              <w:widowControl/>
              <w:spacing w:line="360" w:lineRule="exact"/>
              <w:ind w:firstLineChars="100" w:firstLine="240"/>
              <w:jc w:val="left"/>
              <w:rPr>
                <w:rFonts w:ascii="仿宋" w:eastAsia="仿宋" w:cs="仿宋" w:hAnsi="仿宋"/>
                <w:color w:val="000000"/>
                <w:kern w:val="0"/>
                <w:sz w:val="24"/>
              </w:rPr>
            </w:pPr>
            <w:r>
              <w:rPr>
                <w:rFonts w:ascii="仿宋" w:eastAsia="仿宋" w:cs="仿宋" w:hAnsi="仿宋" w:hint="eastAsia"/>
                <w:color w:val="000000"/>
                <w:kern w:val="0"/>
                <w:sz w:val="24"/>
              </w:rPr>
              <w:t>情形描述</w:t>
            </w:r>
          </w:p>
        </w:tc>
        <w:tc>
          <w:tcPr>
            <w:tcW w:w="6015" w:type="dxa"/>
            <w:tcBorders>
              <w:top w:val="single" w:sz="4" w:space="0" w:color="auto"/>
              <w:left w:val="single" w:sz="4" w:space="0" w:color="auto"/>
              <w:right w:val="single" w:sz="4"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未报送筹备首次业主大会会议所需的文件资料（依据《江苏省物业管理条例》第十四条、参照《南京市住宅区业主自治活动导则》第七条规定执行）两项以下资料的或未移交本条例第四十条规定中两项以下资料的</w:t>
            </w:r>
          </w:p>
        </w:tc>
        <w:tc>
          <w:tcPr>
            <w:tcW w:w="2002" w:type="dxa"/>
            <w:vMerge w:val="restart"/>
            <w:tcBorders>
              <w:top w:val="single" w:sz="4" w:space="0" w:color="auto"/>
              <w:left w:val="single" w:sz="4" w:space="0" w:color="auto"/>
              <w:right w:val="single" w:sz="4"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裁量幅度</w:t>
            </w:r>
          </w:p>
        </w:tc>
        <w:tc>
          <w:tcPr>
            <w:tcW w:w="4284" w:type="dxa"/>
            <w:tcBorders>
              <w:top w:val="single" w:sz="8" w:space="0" w:color="auto"/>
              <w:left w:val="single" w:sz="4" w:space="0" w:color="auto"/>
              <w:bottom w:val="single" w:sz="8" w:space="0" w:color="auto"/>
              <w:right w:val="single" w:sz="8" w:space="0" w:color="auto"/>
            </w:tcBorders>
            <w:vAlign w:val="center"/>
          </w:tcPr>
          <w:p>
            <w:pPr>
              <w:widowControl/>
              <w:spacing w:line="360" w:lineRule="exact"/>
              <w:jc w:val="left"/>
              <w:rPr>
                <w:rFonts w:ascii="仿宋" w:eastAsia="仿宋" w:cs="仿宋" w:hAnsi="仿宋"/>
                <w:b/>
                <w:bCs/>
                <w:color w:val="000000"/>
                <w:kern w:val="0"/>
                <w:sz w:val="24"/>
              </w:rPr>
            </w:pPr>
            <w:r>
              <w:rPr>
                <w:rFonts w:ascii="仿宋" w:eastAsia="仿宋" w:cs="仿宋" w:hAnsi="仿宋" w:hint="eastAsia"/>
                <w:color w:val="000000"/>
                <w:kern w:val="0"/>
                <w:sz w:val="24"/>
              </w:rPr>
              <w:t>处五万元以上六万元以下罚款</w:t>
            </w:r>
          </w:p>
        </w:tc>
      </w:tr>
      <w:tr>
        <w:trPr>
          <w:trHeight w:val="222"/>
        </w:trPr>
        <w:tc>
          <w:tcPr>
            <w:tcW w:w="1721" w:type="dxa"/>
            <w:vMerge/>
            <w:tcBorders>
              <w:left w:val="single" w:sz="4" w:space="0" w:color="auto"/>
              <w:right w:val="single" w:sz="4" w:space="0" w:color="auto"/>
            </w:tcBorders>
            <w:vAlign w:val="center"/>
          </w:tcPr>
          <w:p/>
        </w:tc>
        <w:tc>
          <w:tcPr>
            <w:tcW w:w="6015" w:type="dxa"/>
            <w:tcBorders>
              <w:top w:val="single" w:sz="4" w:space="0" w:color="auto"/>
              <w:left w:val="single" w:sz="4" w:space="0" w:color="auto"/>
              <w:right w:val="single" w:sz="4"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未报送筹备首次业主大会会议所需的文件资料（依据《江苏省物业管理条例》第十四条、参照《南京市住宅区业主自治活动导则》第七条规定执行）两项以上四项以下资料的或未移交本条例第四十条规定中两项以上四项以下资料的</w:t>
            </w:r>
          </w:p>
        </w:tc>
        <w:tc>
          <w:tcPr>
            <w:tcW w:w="2002" w:type="dxa"/>
            <w:vMerge/>
            <w:tcBorders>
              <w:left w:val="single" w:sz="4" w:space="0" w:color="auto"/>
              <w:right w:val="single" w:sz="4" w:space="0" w:color="auto"/>
            </w:tcBorders>
            <w:vAlign w:val="center"/>
          </w:tcPr>
          <w:p/>
        </w:tc>
        <w:tc>
          <w:tcPr>
            <w:tcW w:w="4284" w:type="dxa"/>
            <w:tcBorders>
              <w:top w:val="single" w:sz="8" w:space="0" w:color="auto"/>
              <w:left w:val="single" w:sz="4"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处六万元以上七万元以下罚款</w:t>
            </w:r>
          </w:p>
        </w:tc>
      </w:tr>
      <w:tr>
        <w:trPr>
          <w:trHeight w:val="285"/>
        </w:trPr>
        <w:tc>
          <w:tcPr>
            <w:tcW w:w="1721" w:type="dxa"/>
            <w:vMerge/>
            <w:tcBorders>
              <w:left w:val="single" w:sz="4" w:space="0" w:color="auto"/>
              <w:bottom w:val="single" w:sz="8" w:space="0" w:color="auto"/>
              <w:right w:val="single" w:sz="4" w:space="0" w:color="auto"/>
            </w:tcBorders>
            <w:vAlign w:val="center"/>
          </w:tcPr>
          <w:p/>
        </w:tc>
        <w:tc>
          <w:tcPr>
            <w:tcW w:w="6015" w:type="dxa"/>
            <w:tcBorders>
              <w:top w:val="single" w:sz="4"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未报送筹备首次业主大会会议所需的文件资料（依据《江苏省物业管理条例》第十四条、参照《南京市住宅区业主自治活动导则》第七条规定执行）四项以上资料的或未移交本条例第四十条规定中四项以上资料的</w:t>
            </w:r>
          </w:p>
        </w:tc>
        <w:tc>
          <w:tcPr>
            <w:tcW w:w="2002" w:type="dxa"/>
            <w:vMerge/>
            <w:tcBorders>
              <w:left w:val="single" w:sz="4" w:space="0" w:color="auto"/>
              <w:bottom w:val="single" w:sz="8" w:space="0" w:color="auto"/>
              <w:right w:val="single" w:sz="4" w:space="0" w:color="auto"/>
            </w:tcBorders>
            <w:vAlign w:val="center"/>
          </w:tcPr>
          <w:p/>
        </w:tc>
        <w:tc>
          <w:tcPr>
            <w:tcW w:w="4284"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b/>
                <w:bCs/>
                <w:color w:val="000000"/>
                <w:kern w:val="0"/>
                <w:sz w:val="24"/>
              </w:rPr>
            </w:pPr>
            <w:r>
              <w:rPr>
                <w:rFonts w:ascii="仿宋" w:eastAsia="仿宋" w:cs="仿宋" w:hAnsi="仿宋" w:hint="eastAsia"/>
                <w:color w:val="000000"/>
                <w:kern w:val="0"/>
                <w:sz w:val="24"/>
              </w:rPr>
              <w:t>处七万元以上十万元以下罚款</w:t>
            </w:r>
          </w:p>
        </w:tc>
      </w:tr>
    </w:tbl>
    <w:p>
      <w:pPr>
        <w:rPr>
          <w:rFonts w:ascii="仿宋" w:eastAsia="仿宋" w:cs="仿宋" w:hAnsi="仿宋"/>
        </w:rPr>
      </w:pPr>
    </w:p>
    <w:tbl>
      <w:tblPr>
        <w:jc w:val="left"/>
        <w:tblInd w:w="8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721"/>
        <w:gridCol w:w="2013"/>
        <w:gridCol w:w="3970"/>
        <w:gridCol w:w="2034"/>
        <w:gridCol w:w="4284"/>
      </w:tblGrid>
      <w:tr>
        <w:trPr>
          <w:trHeight w:val="285"/>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行为名称</w:t>
            </w:r>
          </w:p>
        </w:tc>
        <w:tc>
          <w:tcPr>
            <w:tcW w:w="12301" w:type="dxa"/>
            <w:gridSpan w:val="4"/>
            <w:tcBorders>
              <w:top w:val="single" w:sz="8" w:space="0" w:color="auto"/>
              <w:left w:val="single" w:sz="8" w:space="0" w:color="auto"/>
              <w:bottom w:val="single" w:sz="8" w:space="0" w:color="auto"/>
              <w:right w:val="single" w:sz="8" w:space="0" w:color="auto"/>
            </w:tcBorders>
            <w:vAlign w:val="center"/>
          </w:tcPr>
          <w:p>
            <w:pPr>
              <w:spacing w:line="360" w:lineRule="exact"/>
              <w:rPr>
                <w:rFonts w:ascii="仿宋" w:eastAsia="仿宋" w:cs="仿宋" w:hAnsi="仿宋"/>
                <w:sz w:val="24"/>
              </w:rPr>
            </w:pPr>
            <w:r>
              <w:rPr>
                <w:rFonts w:ascii="仿宋" w:eastAsia="仿宋" w:cs="仿宋" w:hAnsi="仿宋" w:hint="eastAsia"/>
                <w:b/>
                <w:bCs/>
                <w:sz w:val="24"/>
              </w:rPr>
              <w:t>对建设单位未按照要求交纳首次业主大会会议筹备经费的处罚</w:t>
            </w:r>
          </w:p>
        </w:tc>
      </w:tr>
      <w:tr>
        <w:trPr>
          <w:trHeight w:val="285"/>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法律依据</w:t>
            </w:r>
          </w:p>
        </w:tc>
        <w:tc>
          <w:tcPr>
            <w:tcW w:w="12301" w:type="dxa"/>
            <w:gridSpan w:val="4"/>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【地方性法规】《南京市住宅物业管理条例》 </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第七十三条 建设单位违反本条例规定，有下列情形之一的，由区物业管理行政主管部门责令限期改正；逾期不改正的，按照下列规定进行处罚：</w:t>
            </w:r>
          </w:p>
          <w:p>
            <w:pPr>
              <w:widowControl/>
              <w:numPr>
                <w:ilvl w:val="0"/>
                <w:numId w:val="6"/>
              </w:numPr>
              <w:spacing w:line="360" w:lineRule="exact"/>
              <w:ind w:left="0"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违反本条例第九条第二款规定，未按照要求交纳首次业主大会会议筹备经费的，处五万元以上十万元以下罚款。</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第九条第二款  首次业主大会会议的筹备经费根据物业管理区域规模、业主户数和建筑面积等因素确定，由建设单位承担。建设单位应当在办理房屋所有权初始登记之前，将首次业主大会会议筹备经费交至街道办事处（镇人民政府）设立的专用账户，供业主大会筹备组使用。</w:t>
            </w:r>
          </w:p>
        </w:tc>
      </w:tr>
      <w:tr>
        <w:trPr>
          <w:trHeight w:val="285"/>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处罚种类</w:t>
            </w:r>
          </w:p>
        </w:tc>
        <w:tc>
          <w:tcPr>
            <w:tcW w:w="12301" w:type="dxa"/>
            <w:gridSpan w:val="4"/>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罚款</w:t>
            </w:r>
          </w:p>
        </w:tc>
      </w:tr>
      <w:tr>
        <w:trPr>
          <w:trHeight w:val="285"/>
        </w:trPr>
        <w:tc>
          <w:tcPr>
            <w:tcW w:w="14022" w:type="dxa"/>
            <w:gridSpan w:val="5"/>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自由裁量基准</w:t>
            </w:r>
          </w:p>
        </w:tc>
      </w:tr>
      <w:tr>
        <w:trPr>
          <w:trHeight w:val="285"/>
        </w:trPr>
        <w:tc>
          <w:tcPr>
            <w:tcW w:w="1721" w:type="dxa"/>
            <w:vMerge w:val="restart"/>
            <w:tcBorders>
              <w:top w:val="single" w:sz="8" w:space="0" w:color="auto"/>
              <w:left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情形描述</w:t>
            </w:r>
          </w:p>
        </w:tc>
        <w:tc>
          <w:tcPr>
            <w:tcW w:w="2013" w:type="dxa"/>
            <w:vMerge w:val="restart"/>
            <w:tcBorders>
              <w:top w:val="single" w:sz="8" w:space="0" w:color="auto"/>
              <w:left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逾期不改正的</w:t>
            </w:r>
          </w:p>
        </w:tc>
        <w:tc>
          <w:tcPr>
            <w:tcW w:w="3970"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行政处罚立案前改正的</w:t>
            </w:r>
          </w:p>
        </w:tc>
        <w:tc>
          <w:tcPr>
            <w:tcW w:w="2034" w:type="dxa"/>
            <w:vMerge w:val="restart"/>
            <w:tcBorders>
              <w:top w:val="single" w:sz="8" w:space="0" w:color="auto"/>
              <w:left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裁量幅度</w:t>
            </w:r>
          </w:p>
        </w:tc>
        <w:tc>
          <w:tcPr>
            <w:tcW w:w="4284"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处五万元以上六万元以下罚款</w:t>
            </w:r>
          </w:p>
        </w:tc>
      </w:tr>
      <w:tr>
        <w:trPr>
          <w:trHeight w:val="765"/>
        </w:trPr>
        <w:tc>
          <w:tcPr>
            <w:tcW w:w="1721" w:type="dxa"/>
            <w:vMerge/>
            <w:tcBorders>
              <w:left w:val="single" w:sz="8" w:space="0" w:color="auto"/>
              <w:right w:val="single" w:sz="8" w:space="0" w:color="auto"/>
            </w:tcBorders>
            <w:vAlign w:val="center"/>
          </w:tcPr>
          <w:p/>
        </w:tc>
        <w:tc>
          <w:tcPr>
            <w:tcW w:w="2013" w:type="dxa"/>
            <w:vMerge/>
            <w:tcBorders>
              <w:left w:val="single" w:sz="8" w:space="0" w:color="auto"/>
              <w:right w:val="single" w:sz="8" w:space="0" w:color="auto"/>
            </w:tcBorders>
            <w:vAlign w:val="center"/>
          </w:tcPr>
          <w:p/>
        </w:tc>
        <w:tc>
          <w:tcPr>
            <w:tcW w:w="3970"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行政处罚立案后事先告知书送达前改正的</w:t>
            </w:r>
          </w:p>
        </w:tc>
        <w:tc>
          <w:tcPr>
            <w:tcW w:w="2034" w:type="dxa"/>
            <w:vMerge/>
            <w:tcBorders>
              <w:left w:val="single" w:sz="8" w:space="0" w:color="auto"/>
              <w:right w:val="single" w:sz="8" w:space="0" w:color="auto"/>
            </w:tcBorders>
            <w:vAlign w:val="center"/>
          </w:tcPr>
          <w:p/>
        </w:tc>
        <w:tc>
          <w:tcPr>
            <w:tcW w:w="4284"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处六万元以上八万元以下罚款</w:t>
            </w:r>
          </w:p>
        </w:tc>
      </w:tr>
      <w:tr>
        <w:trPr>
          <w:trHeight w:val="285"/>
        </w:trPr>
        <w:tc>
          <w:tcPr>
            <w:tcW w:w="1721" w:type="dxa"/>
            <w:vMerge/>
            <w:tcBorders>
              <w:left w:val="single" w:sz="8" w:space="0" w:color="auto"/>
              <w:bottom w:val="single" w:sz="8" w:space="0" w:color="auto"/>
              <w:right w:val="single" w:sz="8" w:space="0" w:color="auto"/>
            </w:tcBorders>
            <w:vAlign w:val="center"/>
          </w:tcPr>
          <w:p/>
        </w:tc>
        <w:tc>
          <w:tcPr>
            <w:tcW w:w="2013" w:type="dxa"/>
            <w:vMerge/>
            <w:tcBorders>
              <w:left w:val="single" w:sz="8" w:space="0" w:color="auto"/>
              <w:bottom w:val="single" w:sz="8" w:space="0" w:color="auto"/>
              <w:right w:val="single" w:sz="8" w:space="0" w:color="auto"/>
            </w:tcBorders>
            <w:vAlign w:val="center"/>
          </w:tcPr>
          <w:p/>
        </w:tc>
        <w:tc>
          <w:tcPr>
            <w:tcW w:w="3970"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行政处罚立案后事先告知书送达前未改正的</w:t>
            </w:r>
          </w:p>
        </w:tc>
        <w:tc>
          <w:tcPr>
            <w:tcW w:w="2034" w:type="dxa"/>
            <w:vMerge/>
            <w:tcBorders>
              <w:left w:val="single" w:sz="8" w:space="0" w:color="auto"/>
              <w:bottom w:val="single" w:sz="8" w:space="0" w:color="auto"/>
              <w:right w:val="single" w:sz="8" w:space="0" w:color="auto"/>
            </w:tcBorders>
            <w:vAlign w:val="center"/>
          </w:tcPr>
          <w:p/>
        </w:tc>
        <w:tc>
          <w:tcPr>
            <w:tcW w:w="4284"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处八万元以上十万元以下罚款</w:t>
            </w:r>
          </w:p>
        </w:tc>
      </w:tr>
    </w:tbl>
    <w:p>
      <w:pPr>
        <w:pStyle w:val="60"/>
        <w:rPr>
          <w:rFonts w:ascii="仿宋" w:eastAsia="仿宋" w:cs="仿宋" w:hAnsi="仿宋"/>
        </w:rPr>
      </w:pPr>
    </w:p>
    <w:tbl>
      <w:tblPr>
        <w:jc w:val="left"/>
        <w:tblInd w:w="91"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721"/>
        <w:gridCol w:w="1999"/>
        <w:gridCol w:w="4020"/>
        <w:gridCol w:w="2010"/>
        <w:gridCol w:w="4272"/>
      </w:tblGrid>
      <w:tr>
        <w:trPr>
          <w:trHeight w:val="285"/>
        </w:trPr>
        <w:tc>
          <w:tcPr>
            <w:tcW w:w="1721" w:type="dxa"/>
            <w:tcBorders>
              <w:top w:val="single" w:sz="8" w:space="0" w:color="auto"/>
              <w:left w:val="single" w:sz="8" w:space="0" w:color="auto"/>
              <w:bottom w:val="single" w:sz="4" w:space="0" w:color="auto"/>
              <w:right w:val="single" w:sz="4" w:space="0" w:color="auto"/>
            </w:tcBorders>
            <w:vAlign w:val="center"/>
          </w:tcPr>
          <w:p>
            <w:pPr>
              <w:widowControl/>
              <w:spacing w:line="360" w:lineRule="exact"/>
              <w:ind w:firstLineChars="100" w:firstLine="240"/>
              <w:jc w:val="left"/>
            </w:pPr>
            <w:r>
              <w:rPr>
                <w:rFonts w:ascii="仿宋" w:eastAsia="仿宋" w:cs="仿宋" w:hAnsi="仿宋" w:hint="eastAsia"/>
                <w:color w:val="000000"/>
                <w:kern w:val="0"/>
                <w:sz w:val="24"/>
              </w:rPr>
              <w:t>行为名称</w:t>
            </w:r>
          </w:p>
        </w:tc>
        <w:tc>
          <w:tcPr>
            <w:tcW w:w="12301" w:type="dxa"/>
            <w:gridSpan w:val="4"/>
            <w:tcBorders>
              <w:top w:val="single" w:sz="8" w:space="0" w:color="auto"/>
              <w:left w:val="nil"/>
              <w:bottom w:val="single" w:sz="4" w:space="0" w:color="auto"/>
              <w:right w:val="single" w:sz="8" w:space="0" w:color="000000"/>
            </w:tcBorders>
            <w:vAlign w:val="center"/>
          </w:tcPr>
          <w:p>
            <w:pPr>
              <w:widowControl/>
              <w:spacing w:line="360" w:lineRule="exact"/>
              <w:jc w:val="left"/>
            </w:pPr>
            <w:r>
              <w:rPr>
                <w:rFonts w:ascii="仿宋" w:eastAsia="仿宋" w:cs="仿宋" w:hAnsi="仿宋" w:hint="eastAsia"/>
                <w:b/>
                <w:bCs/>
                <w:color w:val="000000"/>
                <w:kern w:val="0"/>
                <w:sz w:val="24"/>
              </w:rPr>
              <w:t>对建设单位未按照要求交存、补足物业保修金的处罚</w:t>
            </w:r>
          </w:p>
        </w:tc>
      </w:tr>
      <w:tr>
        <w:trPr>
          <w:trHeight w:val="1258"/>
        </w:trPr>
        <w:tc>
          <w:tcPr>
            <w:tcW w:w="1721"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法律依据</w:t>
            </w:r>
          </w:p>
        </w:tc>
        <w:tc>
          <w:tcPr>
            <w:tcW w:w="12301" w:type="dxa"/>
            <w:gridSpan w:val="4"/>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【地方性法规】《南京市住宅物业管理条例》 </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第七十三条 建设单位违反本条例规定，有下列情形之一的，由区物业管理行政主管部门责令限期改正；逾期不改正的，按照下列规定进行处罚：</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（三）违反本条例第三十六条规定，未按照要求交存、补足物业保修金的，处二十万元以上三十万元以下罚款。</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第三十六条  建设单位在房屋产权初始登记之前，应当按照物业建筑安装总造价百分之二的比例交存物业保修金，作为物业保修期内维修费用的保障。物业保修金不得纳入房屋建设成本。</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物业保修金实行“统一交存、权属不变、专款专用、政府监管”的原则，由市、区物业管理行政主管部门指定的机构统一管理。在物业保修金交存期内，建设单位不履行保修责任或者因歇业、破产等原因无法履行保修责任的，维修费用在物业保修金中列支。</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物业保修金交存期限为五年。交存期内，物业保修金不足的，建设单位应当补足；交存期满后，物业保修金有余额的，应当返还建设单位。</w:t>
            </w:r>
          </w:p>
        </w:tc>
      </w:tr>
      <w:tr>
        <w:trPr>
          <w:trHeight w:val="285"/>
        </w:trPr>
        <w:tc>
          <w:tcPr>
            <w:tcW w:w="1721"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处罚种类</w:t>
            </w:r>
          </w:p>
        </w:tc>
        <w:tc>
          <w:tcPr>
            <w:tcW w:w="12301" w:type="dxa"/>
            <w:gridSpan w:val="4"/>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罚款</w:t>
            </w:r>
          </w:p>
        </w:tc>
      </w:tr>
      <w:tr>
        <w:trPr>
          <w:trHeight w:val="285"/>
        </w:trPr>
        <w:tc>
          <w:tcPr>
            <w:tcW w:w="14022" w:type="dxa"/>
            <w:gridSpan w:val="5"/>
            <w:tcBorders>
              <w:top w:val="single" w:sz="4" w:space="0" w:color="auto"/>
              <w:left w:val="single" w:sz="4" w:space="0" w:color="auto"/>
              <w:bottom w:val="single" w:sz="4" w:space="0" w:color="auto"/>
              <w:right w:val="single" w:sz="4"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自由裁量基准</w:t>
            </w:r>
          </w:p>
        </w:tc>
      </w:tr>
      <w:tr>
        <w:trPr>
          <w:trHeight w:val="285"/>
        </w:trPr>
        <w:tc>
          <w:tcPr>
            <w:tcW w:w="1721" w:type="dxa"/>
            <w:vMerge w:val="restart"/>
            <w:tcBorders>
              <w:top w:val="single" w:sz="4" w:space="0" w:color="auto"/>
              <w:left w:val="single" w:sz="4" w:space="0" w:color="auto"/>
              <w:bottom w:val="single" w:sz="4" w:space="0" w:color="auto"/>
              <w:right w:val="single" w:sz="4" w:space="0" w:color="auto"/>
            </w:tcBorders>
            <w:vAlign w:val="center"/>
          </w:tcPr>
          <w:p>
            <w:pPr>
              <w:widowControl/>
              <w:spacing w:line="360" w:lineRule="exact"/>
              <w:jc w:val="center"/>
              <w:rPr>
                <w:rFonts w:ascii="仿宋" w:eastAsia="仿宋" w:cs="仿宋" w:hAnsi="仿宋"/>
                <w:kern w:val="0"/>
                <w:sz w:val="24"/>
              </w:rPr>
            </w:pPr>
            <w:r>
              <w:rPr>
                <w:rFonts w:ascii="仿宋" w:eastAsia="仿宋" w:cs="仿宋" w:hAnsi="仿宋" w:hint="eastAsia"/>
                <w:kern w:val="0"/>
                <w:sz w:val="24"/>
              </w:rPr>
              <w:t>情形描述</w:t>
            </w:r>
          </w:p>
        </w:tc>
        <w:tc>
          <w:tcPr>
            <w:tcW w:w="1999" w:type="dxa"/>
            <w:vMerge w:val="restart"/>
            <w:tcBorders>
              <w:top w:val="single" w:sz="4" w:space="0" w:color="auto"/>
              <w:left w:val="single" w:sz="4" w:space="0" w:color="auto"/>
              <w:bottom w:val="single" w:sz="4" w:space="0" w:color="auto"/>
              <w:right w:val="single" w:sz="4" w:space="0" w:color="auto"/>
            </w:tcBorders>
            <w:vAlign w:val="center"/>
          </w:tcPr>
          <w:p>
            <w:pPr>
              <w:widowControl/>
              <w:spacing w:line="360" w:lineRule="exact"/>
              <w:rPr>
                <w:rFonts w:ascii="仿宋" w:eastAsia="仿宋" w:cs="仿宋" w:hAnsi="仿宋"/>
                <w:kern w:val="0"/>
                <w:sz w:val="24"/>
              </w:rPr>
            </w:pPr>
          </w:p>
          <w:p>
            <w:pPr>
              <w:widowControl/>
              <w:spacing w:line="360" w:lineRule="exact"/>
              <w:rPr>
                <w:rFonts w:ascii="仿宋" w:eastAsia="仿宋" w:cs="仿宋" w:hAnsi="仿宋"/>
                <w:kern w:val="0"/>
                <w:sz w:val="24"/>
              </w:rPr>
            </w:pPr>
          </w:p>
          <w:p>
            <w:pPr>
              <w:widowControl/>
              <w:spacing w:line="360" w:lineRule="exact"/>
              <w:rPr>
                <w:rFonts w:ascii="仿宋" w:eastAsia="仿宋" w:cs="仿宋" w:hAnsi="仿宋"/>
                <w:kern w:val="0"/>
                <w:sz w:val="24"/>
              </w:rPr>
            </w:pPr>
            <w:r>
              <w:rPr>
                <w:rFonts w:ascii="仿宋" w:eastAsia="仿宋" w:cs="仿宋" w:hAnsi="仿宋" w:hint="eastAsia"/>
                <w:kern w:val="0"/>
                <w:sz w:val="24"/>
              </w:rPr>
              <w:t>未按要求交存物业保修金或未按要求补足物业保修金且逾期不改正的</w:t>
            </w:r>
          </w:p>
        </w:tc>
        <w:tc>
          <w:tcPr>
            <w:tcW w:w="4020" w:type="dxa"/>
            <w:tcBorders>
              <w:top w:val="single" w:sz="4" w:space="0" w:color="auto"/>
              <w:left w:val="single" w:sz="4" w:space="0" w:color="auto"/>
              <w:bottom w:val="single" w:sz="4" w:space="0" w:color="auto"/>
              <w:right w:val="single" w:sz="8" w:space="0" w:color="000000"/>
            </w:tcBorders>
            <w:vAlign w:val="center"/>
          </w:tcPr>
          <w:p>
            <w:pPr>
              <w:widowControl/>
              <w:spacing w:line="360" w:lineRule="exact"/>
              <w:jc w:val="left"/>
              <w:rPr>
                <w:rFonts w:ascii="仿宋" w:eastAsia="仿宋" w:cs="仿宋" w:hAnsi="仿宋"/>
                <w:kern w:val="0"/>
                <w:sz w:val="24"/>
              </w:rPr>
            </w:pPr>
            <w:r>
              <w:rPr>
                <w:rFonts w:ascii="仿宋" w:eastAsia="仿宋" w:cs="仿宋" w:hAnsi="仿宋" w:hint="eastAsia"/>
                <w:kern w:val="0"/>
                <w:sz w:val="24"/>
              </w:rPr>
              <w:t>未交存物业保修金所属物业管理区域总建筑面积不超过5万平方米的或未补足物业保修金数额占首期归集资金数额40%以下的</w:t>
            </w:r>
          </w:p>
        </w:tc>
        <w:tc>
          <w:tcPr>
            <w:tcW w:w="2010" w:type="dxa"/>
            <w:vMerge w:val="restart"/>
            <w:tcBorders>
              <w:top w:val="single" w:sz="4" w:space="0" w:color="auto"/>
              <w:left w:val="single" w:sz="4" w:space="0" w:color="auto"/>
              <w:bottom w:val="single" w:sz="4" w:space="0" w:color="auto"/>
              <w:right w:val="single" w:sz="4" w:space="0" w:color="auto"/>
            </w:tcBorders>
            <w:vAlign w:val="center"/>
          </w:tcPr>
          <w:p>
            <w:pPr>
              <w:widowControl/>
              <w:spacing w:line="360" w:lineRule="exact"/>
              <w:jc w:val="center"/>
              <w:rPr>
                <w:rFonts w:ascii="仿宋" w:eastAsia="仿宋" w:cs="仿宋" w:hAnsi="仿宋"/>
                <w:kern w:val="0"/>
                <w:sz w:val="24"/>
              </w:rPr>
            </w:pPr>
            <w:r>
              <w:rPr>
                <w:rFonts w:ascii="仿宋" w:eastAsia="仿宋" w:cs="仿宋" w:hAnsi="仿宋" w:hint="eastAsia"/>
                <w:kern w:val="0"/>
                <w:sz w:val="24"/>
              </w:rPr>
              <w:t>裁量幅度</w:t>
            </w:r>
          </w:p>
        </w:tc>
        <w:tc>
          <w:tcPr>
            <w:tcW w:w="4272" w:type="dxa"/>
            <w:tcBorders>
              <w:top w:val="single" w:sz="4" w:space="0" w:color="auto"/>
              <w:left w:val="single" w:sz="4" w:space="0" w:color="auto"/>
              <w:bottom w:val="single" w:sz="4" w:space="0" w:color="auto"/>
              <w:right w:val="single" w:sz="8" w:space="0" w:color="000000"/>
            </w:tcBorders>
            <w:vAlign w:val="center"/>
          </w:tcPr>
          <w:p>
            <w:pPr>
              <w:widowControl/>
              <w:spacing w:line="360" w:lineRule="exact"/>
              <w:jc w:val="left"/>
              <w:rPr>
                <w:rFonts w:ascii="仿宋" w:eastAsia="仿宋" w:cs="仿宋" w:hAnsi="仿宋"/>
                <w:kern w:val="0"/>
                <w:sz w:val="24"/>
              </w:rPr>
            </w:pPr>
            <w:r>
              <w:rPr>
                <w:rFonts w:ascii="仿宋" w:eastAsia="仿宋" w:cs="仿宋" w:hAnsi="仿宋" w:hint="eastAsia"/>
                <w:kern w:val="0"/>
                <w:sz w:val="24"/>
              </w:rPr>
              <w:t>处二十万元以上二十三万元以下罚款</w:t>
            </w:r>
          </w:p>
        </w:tc>
      </w:tr>
      <w:tr>
        <w:trPr>
          <w:trHeight w:val="450"/>
        </w:trPr>
        <w:tc>
          <w:tcPr>
            <w:tcW w:w="1721" w:type="dxa"/>
            <w:vMerge/>
            <w:tcBorders>
              <w:top w:val="single" w:sz="4" w:space="0" w:color="auto"/>
              <w:left w:val="single" w:sz="4" w:space="0" w:color="auto"/>
              <w:bottom w:val="single" w:sz="4" w:space="0" w:color="auto"/>
              <w:right w:val="single" w:sz="4" w:space="0" w:color="auto"/>
            </w:tcBorders>
            <w:vAlign w:val="center"/>
          </w:tcPr>
          <w:p/>
        </w:tc>
        <w:tc>
          <w:tcPr>
            <w:tcW w:w="1999" w:type="dxa"/>
            <w:vMerge/>
            <w:tcBorders>
              <w:top w:val="single" w:sz="4" w:space="0" w:color="auto"/>
              <w:left w:val="nil"/>
              <w:bottom w:val="single" w:sz="4" w:space="0" w:color="auto"/>
              <w:right w:val="single" w:sz="4" w:space="0" w:color="auto"/>
            </w:tcBorders>
            <w:vAlign w:val="center"/>
          </w:tcPr>
          <w:p/>
        </w:tc>
        <w:tc>
          <w:tcPr>
            <w:tcW w:w="4020" w:type="dxa"/>
            <w:tcBorders>
              <w:top w:val="single" w:sz="4" w:space="0" w:color="auto"/>
              <w:left w:val="single" w:sz="4" w:space="0" w:color="auto"/>
              <w:bottom w:val="single" w:sz="4" w:space="0" w:color="auto"/>
              <w:right w:val="single" w:sz="8" w:space="0" w:color="000000"/>
            </w:tcBorders>
            <w:vAlign w:val="center"/>
          </w:tcPr>
          <w:p>
            <w:pPr>
              <w:widowControl/>
              <w:spacing w:line="360" w:lineRule="exact"/>
              <w:jc w:val="left"/>
              <w:rPr>
                <w:rFonts w:ascii="仿宋" w:eastAsia="仿宋" w:cs="仿宋" w:hAnsi="仿宋"/>
                <w:kern w:val="0"/>
                <w:sz w:val="24"/>
              </w:rPr>
            </w:pPr>
            <w:r>
              <w:rPr>
                <w:rFonts w:ascii="仿宋" w:eastAsia="仿宋" w:cs="仿宋" w:hAnsi="仿宋" w:hint="eastAsia"/>
                <w:kern w:val="0"/>
                <w:sz w:val="24"/>
              </w:rPr>
              <w:t>未交存物业保修金所属物业管理区域总建筑面积5万平方米以上15万平方米以下的或未补足物业保修金数额占首期归集资金数额40%以上70%以下的</w:t>
            </w:r>
          </w:p>
        </w:tc>
        <w:tc>
          <w:tcPr>
            <w:tcW w:w="2010" w:type="dxa"/>
            <w:vMerge/>
            <w:tcBorders>
              <w:top w:val="single" w:sz="4" w:space="0" w:color="auto"/>
              <w:left w:val="single" w:sz="4" w:space="0" w:color="auto"/>
              <w:bottom w:val="single" w:sz="4" w:space="0" w:color="auto"/>
              <w:right w:val="single" w:sz="4" w:space="0" w:color="auto"/>
            </w:tcBorders>
            <w:vAlign w:val="center"/>
          </w:tcPr>
          <w:p/>
        </w:tc>
        <w:tc>
          <w:tcPr>
            <w:tcW w:w="4272" w:type="dxa"/>
            <w:tcBorders>
              <w:top w:val="single" w:sz="4" w:space="0" w:color="auto"/>
              <w:left w:val="single" w:sz="4" w:space="0" w:color="auto"/>
              <w:bottom w:val="single" w:sz="4" w:space="0" w:color="auto"/>
              <w:right w:val="single" w:sz="8" w:space="0" w:color="000000"/>
            </w:tcBorders>
            <w:vAlign w:val="center"/>
          </w:tcPr>
          <w:p>
            <w:pPr>
              <w:widowControl/>
              <w:spacing w:line="360" w:lineRule="exact"/>
              <w:jc w:val="left"/>
              <w:rPr>
                <w:rFonts w:ascii="仿宋" w:eastAsia="仿宋" w:cs="仿宋" w:hAnsi="仿宋"/>
                <w:kern w:val="0"/>
                <w:sz w:val="24"/>
              </w:rPr>
            </w:pPr>
            <w:r>
              <w:rPr>
                <w:rFonts w:ascii="仿宋" w:eastAsia="仿宋" w:cs="仿宋" w:hAnsi="仿宋" w:hint="eastAsia"/>
                <w:kern w:val="0"/>
                <w:sz w:val="24"/>
              </w:rPr>
              <w:t>处二十三万元以上二十六万元以下罚款</w:t>
            </w:r>
          </w:p>
        </w:tc>
      </w:tr>
      <w:tr>
        <w:trPr>
          <w:trHeight w:val="90"/>
        </w:trPr>
        <w:tc>
          <w:tcPr>
            <w:tcW w:w="1721" w:type="dxa"/>
            <w:vMerge/>
            <w:tcBorders>
              <w:top w:val="single" w:sz="4" w:space="0" w:color="auto"/>
              <w:left w:val="single" w:sz="4" w:space="0" w:color="auto"/>
              <w:bottom w:val="single" w:sz="4" w:space="0" w:color="auto"/>
              <w:right w:val="single" w:sz="4" w:space="0" w:color="auto"/>
            </w:tcBorders>
            <w:vAlign w:val="center"/>
          </w:tcPr>
          <w:p/>
        </w:tc>
        <w:tc>
          <w:tcPr>
            <w:tcW w:w="1999" w:type="dxa"/>
            <w:vMerge/>
            <w:tcBorders>
              <w:top w:val="single" w:sz="4" w:space="0" w:color="auto"/>
              <w:left w:val="nil"/>
              <w:bottom w:val="single" w:sz="4" w:space="0" w:color="auto"/>
              <w:right w:val="single" w:sz="4" w:space="0" w:color="auto"/>
            </w:tcBorders>
            <w:vAlign w:val="center"/>
          </w:tcPr>
          <w:p/>
        </w:tc>
        <w:tc>
          <w:tcPr>
            <w:tcW w:w="4020" w:type="dxa"/>
            <w:tcBorders>
              <w:top w:val="single" w:sz="4" w:space="0" w:color="auto"/>
              <w:left w:val="single" w:sz="4" w:space="0" w:color="auto"/>
              <w:bottom w:val="single" w:sz="4" w:space="0" w:color="auto"/>
              <w:right w:val="single" w:sz="8" w:space="0" w:color="000000"/>
            </w:tcBorders>
            <w:vAlign w:val="center"/>
          </w:tcPr>
          <w:p>
            <w:pPr>
              <w:widowControl/>
              <w:spacing w:line="360" w:lineRule="exact"/>
              <w:jc w:val="left"/>
              <w:rPr>
                <w:rFonts w:ascii="仿宋" w:eastAsia="仿宋" w:cs="仿宋" w:hAnsi="仿宋"/>
                <w:kern w:val="0"/>
                <w:sz w:val="24"/>
              </w:rPr>
            </w:pPr>
            <w:r>
              <w:rPr>
                <w:rFonts w:ascii="仿宋" w:eastAsia="仿宋" w:cs="仿宋" w:hAnsi="仿宋" w:hint="eastAsia"/>
                <w:kern w:val="0"/>
                <w:sz w:val="24"/>
              </w:rPr>
              <w:t>未交存物业保修金所属物业管理区域总建筑面积15万平方米以上的或未补足物业保修金数额占首期归集资金数额70%以上的</w:t>
            </w:r>
          </w:p>
        </w:tc>
        <w:tc>
          <w:tcPr>
            <w:tcW w:w="2010" w:type="dxa"/>
            <w:vMerge/>
            <w:tcBorders>
              <w:top w:val="single" w:sz="4" w:space="0" w:color="auto"/>
              <w:left w:val="single" w:sz="4" w:space="0" w:color="auto"/>
              <w:bottom w:val="single" w:sz="4" w:space="0" w:color="auto"/>
              <w:right w:val="single" w:sz="4" w:space="0" w:color="auto"/>
            </w:tcBorders>
            <w:vAlign w:val="center"/>
          </w:tcPr>
          <w:p/>
        </w:tc>
        <w:tc>
          <w:tcPr>
            <w:tcW w:w="4272" w:type="dxa"/>
            <w:tcBorders>
              <w:top w:val="single" w:sz="4" w:space="0" w:color="auto"/>
              <w:left w:val="single" w:sz="4" w:space="0" w:color="auto"/>
              <w:bottom w:val="single" w:sz="4" w:space="0" w:color="auto"/>
              <w:right w:val="single" w:sz="8" w:space="0" w:color="000000"/>
            </w:tcBorders>
            <w:vAlign w:val="center"/>
          </w:tcPr>
          <w:p>
            <w:pPr>
              <w:widowControl/>
              <w:spacing w:line="360" w:lineRule="exact"/>
              <w:jc w:val="left"/>
              <w:rPr>
                <w:rFonts w:ascii="仿宋" w:eastAsia="仿宋" w:cs="仿宋" w:hAnsi="仿宋"/>
                <w:kern w:val="0"/>
                <w:sz w:val="24"/>
              </w:rPr>
            </w:pPr>
            <w:r>
              <w:rPr>
                <w:rFonts w:ascii="仿宋" w:eastAsia="仿宋" w:cs="仿宋" w:hAnsi="仿宋" w:hint="eastAsia"/>
                <w:kern w:val="0"/>
                <w:sz w:val="24"/>
              </w:rPr>
              <w:t>处二十六万元以上三十万元以下罚款</w:t>
            </w:r>
          </w:p>
        </w:tc>
      </w:tr>
    </w:tbl>
    <w:p>
      <w:pPr>
        <w:rPr>
          <w:rFonts w:ascii="仿宋" w:eastAsia="仿宋" w:cs="仿宋" w:hAnsi="仿宋"/>
          <w:color w:val="FF0000"/>
        </w:rPr>
      </w:pPr>
    </w:p>
    <w:p>
      <w:pPr>
        <w:rPr>
          <w:rFonts w:ascii="仿宋" w:eastAsia="仿宋" w:cs="仿宋" w:hAnsi="仿宋"/>
        </w:rPr>
      </w:pPr>
    </w:p>
    <w:tbl>
      <w:tblPr>
        <w:jc w:val="left"/>
        <w:tblInd w:w="8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721"/>
        <w:gridCol w:w="2062"/>
        <w:gridCol w:w="3960"/>
        <w:gridCol w:w="2040"/>
        <w:gridCol w:w="4239"/>
      </w:tblGrid>
      <w:tr>
        <w:trPr>
          <w:trHeight w:val="285"/>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行为名称</w:t>
            </w:r>
          </w:p>
        </w:tc>
        <w:tc>
          <w:tcPr>
            <w:tcW w:w="12301" w:type="dxa"/>
            <w:gridSpan w:val="4"/>
            <w:tcBorders>
              <w:top w:val="single" w:sz="8" w:space="0" w:color="auto"/>
              <w:left w:val="single" w:sz="8" w:space="0" w:color="auto"/>
              <w:bottom w:val="single" w:sz="8" w:space="0" w:color="auto"/>
              <w:right w:val="single" w:sz="8" w:space="0" w:color="auto"/>
            </w:tcBorders>
            <w:vAlign w:val="center"/>
          </w:tcPr>
          <w:p>
            <w:pPr>
              <w:spacing w:line="360" w:lineRule="exact"/>
              <w:rPr>
                <w:rFonts w:ascii="仿宋" w:eastAsia="仿宋" w:cs="仿宋" w:hAnsi="仿宋"/>
                <w:sz w:val="24"/>
              </w:rPr>
            </w:pPr>
            <w:r>
              <w:rPr>
                <w:rFonts w:ascii="仿宋" w:eastAsia="仿宋" w:cs="仿宋" w:hAnsi="仿宋" w:hint="eastAsia"/>
                <w:b/>
                <w:bCs/>
                <w:sz w:val="24"/>
              </w:rPr>
              <w:t>对建设单位未按照要求委托物业服务第三方评估机构对物业服务企业履行合同约定的服务标准进行评估的处罚</w:t>
            </w:r>
          </w:p>
        </w:tc>
      </w:tr>
      <w:tr>
        <w:trPr>
          <w:trHeight w:val="285"/>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法律依据</w:t>
            </w:r>
          </w:p>
        </w:tc>
        <w:tc>
          <w:tcPr>
            <w:tcW w:w="12301" w:type="dxa"/>
            <w:gridSpan w:val="4"/>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【地方性法规】《南京市住宅物业管理条例》 </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第七十三条 建设单位违反本条例规定，有下列情形之一的，由区物业管理行政主管部门责令限期改正；逾期不改正的，按照下列规定进行处罚：</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（四）违反本条例第三十八条规定，未按照要求委托物业服务第三方评估机构对物业服务企业履行合同约定的服务标准进行评估的，处五万元以上十万元以下罚款。</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第三十八条  已交付使用物业业主总人数百分之十以上的业主，因对建设单位选聘的物业服务企业的服务质量不满意，要求物业服务第三方评估机构评估的，建设单位应当委托其与业主、物业服务企业协商选定的第三方评估机构，对物业服务企业的履约情况进行评估。协商不成的，由物业管理行政主管部门随机抽取第三方评估机构。评估结果在一年内有效，并向全体业主公告，同时告知物业管理行政主管部门。</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经评估物业服务不符合履约标准的，建设单位可以按照合同约定更换物业服务企业，或者要求物业服务企业限期整改；逾期不整改的，建设单位应当向物业管理行政主管部门报告，由物业管理行政主管部门录入物业服务企业信用档案，并向社会公示。</w:t>
            </w:r>
          </w:p>
        </w:tc>
      </w:tr>
      <w:tr>
        <w:trPr>
          <w:trHeight w:val="285"/>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处罚种类</w:t>
            </w:r>
          </w:p>
        </w:tc>
        <w:tc>
          <w:tcPr>
            <w:tcW w:w="12301" w:type="dxa"/>
            <w:gridSpan w:val="4"/>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罚款</w:t>
            </w:r>
          </w:p>
        </w:tc>
      </w:tr>
      <w:tr>
        <w:trPr>
          <w:trHeight w:val="285"/>
        </w:trPr>
        <w:tc>
          <w:tcPr>
            <w:tcW w:w="14022" w:type="dxa"/>
            <w:gridSpan w:val="5"/>
            <w:tcBorders>
              <w:top w:val="single" w:sz="8" w:space="0" w:color="auto"/>
              <w:left w:val="single" w:sz="8" w:space="0" w:color="auto"/>
              <w:bottom w:val="single" w:sz="4"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自由裁量基准</w:t>
            </w:r>
          </w:p>
        </w:tc>
      </w:tr>
      <w:tr>
        <w:trPr>
          <w:trHeight w:val="285"/>
        </w:trPr>
        <w:tc>
          <w:tcPr>
            <w:tcW w:w="1721" w:type="dxa"/>
            <w:vMerge w:val="restart"/>
            <w:tcBorders>
              <w:top w:val="single" w:sz="4" w:space="0" w:color="auto"/>
              <w:left w:val="single" w:sz="4" w:space="0" w:color="auto"/>
              <w:bottom w:val="single" w:sz="4" w:space="0" w:color="auto"/>
              <w:right w:val="single" w:sz="4"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情形描述</w:t>
            </w:r>
          </w:p>
        </w:tc>
        <w:tc>
          <w:tcPr>
            <w:tcW w:w="2062" w:type="dxa"/>
            <w:vMerge w:val="restart"/>
            <w:tcBorders>
              <w:top w:val="single" w:sz="4" w:space="0" w:color="auto"/>
              <w:left w:val="single" w:sz="4" w:space="0" w:color="auto"/>
              <w:bottom w:val="single" w:sz="4" w:space="0" w:color="auto"/>
              <w:right w:val="single" w:sz="4" w:space="0" w:color="auto"/>
            </w:tcBorders>
            <w:vAlign w:val="center"/>
          </w:tcPr>
          <w:p>
            <w:pPr>
              <w:widowControl/>
              <w:spacing w:line="360" w:lineRule="exact"/>
              <w:rPr>
                <w:rFonts w:ascii="仿宋" w:eastAsia="仿宋" w:cs="仿宋" w:hAnsi="仿宋"/>
                <w:color w:val="000000"/>
                <w:kern w:val="0"/>
                <w:sz w:val="24"/>
              </w:rPr>
            </w:pPr>
          </w:p>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逾期不改正的</w:t>
            </w:r>
          </w:p>
        </w:tc>
        <w:tc>
          <w:tcPr>
            <w:tcW w:w="3960"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行政处罚立案前改正的</w:t>
            </w:r>
          </w:p>
        </w:tc>
        <w:tc>
          <w:tcPr>
            <w:tcW w:w="2040" w:type="dxa"/>
            <w:vMerge w:val="restart"/>
            <w:tcBorders>
              <w:top w:val="single" w:sz="4" w:space="0" w:color="auto"/>
              <w:left w:val="single" w:sz="4" w:space="0" w:color="auto"/>
              <w:bottom w:val="single" w:sz="4" w:space="0" w:color="auto"/>
              <w:right w:val="single" w:sz="4" w:space="0" w:color="auto"/>
            </w:tcBorders>
            <w:vAlign w:val="center"/>
          </w:tcPr>
          <w:p>
            <w:pPr>
              <w:widowControl/>
              <w:spacing w:line="360" w:lineRule="exact"/>
              <w:rPr>
                <w:rFonts w:ascii="仿宋" w:eastAsia="仿宋" w:cs="仿宋" w:hAnsi="仿宋"/>
                <w:color w:val="000000"/>
                <w:kern w:val="0"/>
                <w:sz w:val="24"/>
              </w:rPr>
            </w:pPr>
          </w:p>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裁量幅度</w:t>
            </w:r>
          </w:p>
        </w:tc>
        <w:tc>
          <w:tcPr>
            <w:tcW w:w="4239"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处五万元以上六万元以下罚款</w:t>
            </w:r>
          </w:p>
        </w:tc>
      </w:tr>
      <w:tr>
        <w:trPr>
          <w:trHeight w:val="285"/>
        </w:trPr>
        <w:tc>
          <w:tcPr>
            <w:tcW w:w="1721" w:type="dxa"/>
            <w:vMerge/>
            <w:tcBorders>
              <w:top w:val="single" w:sz="4" w:space="0" w:color="auto"/>
              <w:left w:val="single" w:sz="4" w:space="0" w:color="auto"/>
              <w:bottom w:val="single" w:sz="8" w:space="0" w:color="auto"/>
              <w:right w:val="single" w:sz="8" w:space="0" w:color="auto"/>
            </w:tcBorders>
            <w:vAlign w:val="center"/>
          </w:tcPr>
          <w:p/>
        </w:tc>
        <w:tc>
          <w:tcPr>
            <w:tcW w:w="2062" w:type="dxa"/>
            <w:vMerge/>
            <w:tcBorders>
              <w:top w:val="single" w:sz="4" w:space="0" w:color="auto"/>
              <w:left w:val="single" w:sz="8" w:space="0" w:color="auto"/>
              <w:bottom w:val="single" w:sz="8" w:space="0" w:color="auto"/>
              <w:right w:val="single" w:sz="8" w:space="0" w:color="auto"/>
            </w:tcBorders>
            <w:vAlign w:val="center"/>
          </w:tcPr>
          <w:p/>
        </w:tc>
        <w:tc>
          <w:tcPr>
            <w:tcW w:w="3960" w:type="dxa"/>
            <w:tcBorders>
              <w:top w:val="single" w:sz="4"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行政处罚立案后事先告知书送达前改正的</w:t>
            </w:r>
          </w:p>
        </w:tc>
        <w:tc>
          <w:tcPr>
            <w:tcW w:w="2040" w:type="dxa"/>
            <w:vMerge/>
            <w:tcBorders>
              <w:top w:val="single" w:sz="4" w:space="0" w:color="auto"/>
              <w:left w:val="single" w:sz="8" w:space="0" w:color="auto"/>
              <w:right w:val="single" w:sz="8" w:space="0" w:color="auto"/>
            </w:tcBorders>
            <w:vAlign w:val="center"/>
          </w:tcPr>
          <w:p/>
        </w:tc>
        <w:tc>
          <w:tcPr>
            <w:tcW w:w="4239" w:type="dxa"/>
            <w:tcBorders>
              <w:top w:val="single" w:sz="4"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处六万元以上八万元以下罚款</w:t>
            </w:r>
          </w:p>
        </w:tc>
      </w:tr>
      <w:tr>
        <w:trPr>
          <w:trHeight w:val="285"/>
        </w:trPr>
        <w:tc>
          <w:tcPr>
            <w:tcW w:w="1721" w:type="dxa"/>
            <w:vMerge/>
            <w:tcBorders>
              <w:top w:val="single" w:sz="8" w:space="0" w:color="auto"/>
              <w:left w:val="single" w:sz="4" w:space="0" w:color="auto"/>
              <w:bottom w:val="single" w:sz="8" w:space="0" w:color="auto"/>
              <w:right w:val="single" w:sz="8" w:space="0" w:color="auto"/>
            </w:tcBorders>
            <w:vAlign w:val="center"/>
          </w:tcPr>
          <w:p/>
        </w:tc>
        <w:tc>
          <w:tcPr>
            <w:tcW w:w="2062" w:type="dxa"/>
            <w:vMerge/>
            <w:tcBorders>
              <w:top w:val="single" w:sz="8" w:space="0" w:color="auto"/>
              <w:left w:val="single" w:sz="8" w:space="0" w:color="auto"/>
              <w:bottom w:val="single" w:sz="8" w:space="0" w:color="auto"/>
              <w:right w:val="single" w:sz="8" w:space="0" w:color="auto"/>
            </w:tcBorders>
            <w:vAlign w:val="center"/>
          </w:tcPr>
          <w:p/>
        </w:tc>
        <w:tc>
          <w:tcPr>
            <w:tcW w:w="3960"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行政处罚立案后事先告知书送达前未改正的</w:t>
            </w:r>
          </w:p>
        </w:tc>
        <w:tc>
          <w:tcPr>
            <w:tcW w:w="2040" w:type="dxa"/>
            <w:vMerge/>
            <w:tcBorders>
              <w:left w:val="single" w:sz="8" w:space="0" w:color="auto"/>
              <w:bottom w:val="single" w:sz="8" w:space="0" w:color="auto"/>
              <w:right w:val="single" w:sz="8" w:space="0" w:color="auto"/>
            </w:tcBorders>
            <w:vAlign w:val="center"/>
          </w:tcPr>
          <w:p/>
        </w:tc>
        <w:tc>
          <w:tcPr>
            <w:tcW w:w="4239"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处八万元以上十万元以下罚款</w:t>
            </w:r>
          </w:p>
        </w:tc>
      </w:tr>
    </w:tbl>
    <w:p>
      <w:pPr>
        <w:rPr>
          <w:rFonts w:ascii="仿宋" w:eastAsia="仿宋" w:cs="仿宋" w:hAnsi="仿宋"/>
        </w:rPr>
      </w:pPr>
    </w:p>
    <w:tbl>
      <w:tblPr>
        <w:jc w:val="left"/>
        <w:tblInd w:w="8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721"/>
        <w:gridCol w:w="2032"/>
        <w:gridCol w:w="4005"/>
        <w:gridCol w:w="2025"/>
        <w:gridCol w:w="4239"/>
      </w:tblGrid>
      <w:tr>
        <w:trPr>
          <w:trHeight w:val="285"/>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行为名称</w:t>
            </w:r>
          </w:p>
        </w:tc>
        <w:tc>
          <w:tcPr>
            <w:tcW w:w="12301" w:type="dxa"/>
            <w:gridSpan w:val="4"/>
            <w:tcBorders>
              <w:top w:val="single" w:sz="8" w:space="0" w:color="auto"/>
              <w:left w:val="single" w:sz="8" w:space="0" w:color="auto"/>
              <w:bottom w:val="single" w:sz="8" w:space="0" w:color="auto"/>
              <w:right w:val="single" w:sz="8" w:space="0" w:color="auto"/>
            </w:tcBorders>
            <w:vAlign w:val="center"/>
          </w:tcPr>
          <w:p>
            <w:pPr>
              <w:spacing w:line="360" w:lineRule="exact"/>
              <w:rPr>
                <w:rFonts w:ascii="仿宋" w:eastAsia="仿宋" w:cs="仿宋" w:hAnsi="仿宋"/>
                <w:sz w:val="24"/>
              </w:rPr>
            </w:pPr>
            <w:r>
              <w:rPr>
                <w:rFonts w:ascii="仿宋" w:eastAsia="仿宋" w:cs="仿宋" w:hAnsi="仿宋" w:hint="eastAsia"/>
                <w:b/>
                <w:bCs/>
                <w:sz w:val="24"/>
              </w:rPr>
              <w:t>对建设单位未按照要求交纳住宅专项维修资金的处罚</w:t>
            </w:r>
          </w:p>
        </w:tc>
      </w:tr>
      <w:tr>
        <w:trPr>
          <w:trHeight w:val="285"/>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法律依据</w:t>
            </w:r>
          </w:p>
        </w:tc>
        <w:tc>
          <w:tcPr>
            <w:tcW w:w="12301" w:type="dxa"/>
            <w:gridSpan w:val="4"/>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【地方性法规】《南京市住宅物业管理条例》 </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第七十三条 建设单位违反本条例规定，有下列情形之一的，由区物业管理行政主管部门责令限期改正；逾期不改正的，按照下列规定进行处罚：</w:t>
            </w:r>
          </w:p>
          <w:p>
            <w:pPr>
              <w:widowControl/>
              <w:numPr>
                <w:ilvl w:val="0"/>
                <w:numId w:val="7"/>
              </w:numPr>
              <w:spacing w:line="360" w:lineRule="exact"/>
              <w:ind w:left="0"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违反本条例第五十九条规定，未按照要求交纳住宅专项维修资金的，处应交纳资金百分之十以上百分之三十以下的罚款。</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第五十九条  建设单位应当在办理房屋所有权初始登记之前，将首期住宅专项维修资金一次性交存至住宅专项维修资金专户，并在物业交付使用时向业主收取。</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受让土地的住宅物业配置电梯的，建设单位应当在办理房屋所有权初始登记前交存电梯、消防等设施设备专项维修资金，纳入物业管理区域住宅专项维修资金管理。</w:t>
            </w:r>
          </w:p>
        </w:tc>
      </w:tr>
      <w:tr>
        <w:trPr>
          <w:trHeight w:val="285"/>
        </w:trPr>
        <w:tc>
          <w:tcPr>
            <w:tcW w:w="1721" w:type="dxa"/>
            <w:tcBorders>
              <w:top w:val="single" w:sz="8" w:space="0" w:color="auto"/>
              <w:left w:val="single" w:sz="8" w:space="0" w:color="auto"/>
              <w:bottom w:val="single" w:sz="4"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处罚种类</w:t>
            </w:r>
          </w:p>
        </w:tc>
        <w:tc>
          <w:tcPr>
            <w:tcW w:w="12301" w:type="dxa"/>
            <w:gridSpan w:val="4"/>
            <w:tcBorders>
              <w:top w:val="single" w:sz="8" w:space="0" w:color="auto"/>
              <w:left w:val="single" w:sz="8" w:space="0" w:color="auto"/>
              <w:bottom w:val="single" w:sz="4"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罚款</w:t>
            </w:r>
          </w:p>
        </w:tc>
      </w:tr>
      <w:tr>
        <w:trPr>
          <w:trHeight w:val="285"/>
        </w:trPr>
        <w:tc>
          <w:tcPr>
            <w:tcW w:w="14022" w:type="dxa"/>
            <w:gridSpan w:val="5"/>
            <w:tcBorders>
              <w:top w:val="single" w:sz="8" w:space="0" w:color="auto"/>
              <w:left w:val="single" w:sz="8" w:space="0" w:color="auto"/>
              <w:bottom w:val="single" w:sz="4"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自由裁量基准</w:t>
            </w:r>
          </w:p>
        </w:tc>
      </w:tr>
      <w:tr>
        <w:trPr>
          <w:trHeight w:val="285"/>
        </w:trPr>
        <w:tc>
          <w:tcPr>
            <w:tcW w:w="1721" w:type="dxa"/>
            <w:vMerge w:val="restart"/>
            <w:tcBorders>
              <w:top w:val="single" w:sz="4" w:space="0" w:color="auto"/>
              <w:left w:val="single" w:sz="4" w:space="0" w:color="auto"/>
              <w:bottom w:val="single" w:sz="4" w:space="0" w:color="auto"/>
              <w:right w:val="single" w:sz="4"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情形描述</w:t>
            </w:r>
          </w:p>
        </w:tc>
        <w:tc>
          <w:tcPr>
            <w:tcW w:w="2032" w:type="dxa"/>
            <w:vMerge w:val="restart"/>
            <w:tcBorders>
              <w:top w:val="single" w:sz="4" w:space="0" w:color="auto"/>
              <w:left w:val="single" w:sz="4" w:space="0" w:color="auto"/>
              <w:bottom w:val="single" w:sz="4" w:space="0" w:color="auto"/>
              <w:right w:val="single" w:sz="4" w:space="0" w:color="auto"/>
            </w:tcBorders>
            <w:vAlign w:val="center"/>
          </w:tcPr>
          <w:p>
            <w:pPr>
              <w:widowControl/>
              <w:spacing w:line="360" w:lineRule="exact"/>
              <w:rPr>
                <w:rFonts w:ascii="仿宋" w:eastAsia="仿宋" w:cs="仿宋" w:hAnsi="仿宋"/>
                <w:color w:val="000000"/>
                <w:kern w:val="0"/>
                <w:sz w:val="24"/>
              </w:rPr>
            </w:pPr>
          </w:p>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逾期不改正的</w:t>
            </w:r>
          </w:p>
        </w:tc>
        <w:tc>
          <w:tcPr>
            <w:tcW w:w="4005"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行政处罚立案前改正的</w:t>
            </w:r>
          </w:p>
        </w:tc>
        <w:tc>
          <w:tcPr>
            <w:tcW w:w="2025" w:type="dxa"/>
            <w:vMerge w:val="restart"/>
            <w:tcBorders>
              <w:top w:val="single" w:sz="4" w:space="0" w:color="auto"/>
              <w:left w:val="single" w:sz="4" w:space="0" w:color="auto"/>
              <w:bottom w:val="single" w:sz="4" w:space="0" w:color="auto"/>
              <w:right w:val="single" w:sz="4" w:space="0" w:color="auto"/>
            </w:tcBorders>
            <w:vAlign w:val="center"/>
          </w:tcPr>
          <w:p>
            <w:pPr>
              <w:widowControl/>
              <w:spacing w:line="360" w:lineRule="exact"/>
              <w:rPr>
                <w:rFonts w:ascii="仿宋" w:eastAsia="仿宋" w:cs="仿宋" w:hAnsi="仿宋"/>
                <w:color w:val="000000"/>
                <w:kern w:val="0"/>
                <w:sz w:val="24"/>
              </w:rPr>
            </w:pPr>
          </w:p>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裁量幅度</w:t>
            </w:r>
          </w:p>
        </w:tc>
        <w:tc>
          <w:tcPr>
            <w:tcW w:w="4239"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处应交纳资金百分之十以上百分之十五以下罚款</w:t>
            </w:r>
          </w:p>
        </w:tc>
      </w:tr>
      <w:tr>
        <w:trPr>
          <w:trHeight w:val="285"/>
        </w:trPr>
        <w:tc>
          <w:tcPr>
            <w:tcW w:w="1721" w:type="dxa"/>
            <w:vMerge/>
            <w:tcBorders>
              <w:top w:val="single" w:sz="4" w:space="0" w:color="auto"/>
              <w:left w:val="single" w:sz="4" w:space="0" w:color="auto"/>
              <w:bottom w:val="single" w:sz="4" w:space="0" w:color="auto"/>
              <w:right w:val="single" w:sz="4" w:space="0" w:color="auto"/>
            </w:tcBorders>
            <w:vAlign w:val="center"/>
          </w:tcPr>
          <w:p/>
        </w:tc>
        <w:tc>
          <w:tcPr>
            <w:tcW w:w="2032" w:type="dxa"/>
            <w:vMerge/>
            <w:tcBorders>
              <w:top w:val="single" w:sz="4" w:space="0" w:color="auto"/>
              <w:left w:val="single" w:sz="4" w:space="0" w:color="auto"/>
              <w:bottom w:val="single" w:sz="4" w:space="0" w:color="auto"/>
              <w:right w:val="single" w:sz="4" w:space="0" w:color="auto"/>
            </w:tcBorders>
            <w:vAlign w:val="center"/>
          </w:tcPr>
          <w:p/>
        </w:tc>
        <w:tc>
          <w:tcPr>
            <w:tcW w:w="4005"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行政处罚立案后事先告知书送达前改正的</w:t>
            </w:r>
          </w:p>
        </w:tc>
        <w:tc>
          <w:tcPr>
            <w:tcW w:w="2025" w:type="dxa"/>
            <w:vMerge/>
            <w:tcBorders>
              <w:top w:val="single" w:sz="4" w:space="0" w:color="auto"/>
              <w:left w:val="single" w:sz="4" w:space="0" w:color="auto"/>
              <w:bottom w:val="single" w:sz="4" w:space="0" w:color="auto"/>
              <w:right w:val="single" w:sz="4" w:space="0" w:color="auto"/>
            </w:tcBorders>
            <w:vAlign w:val="center"/>
          </w:tcPr>
          <w:p/>
        </w:tc>
        <w:tc>
          <w:tcPr>
            <w:tcW w:w="4239"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处应交纳资金百分之十五以上百分之二十以下罚款</w:t>
            </w:r>
          </w:p>
        </w:tc>
      </w:tr>
      <w:tr>
        <w:trPr>
          <w:trHeight w:val="445"/>
        </w:trPr>
        <w:tc>
          <w:tcPr>
            <w:tcW w:w="1721" w:type="dxa"/>
            <w:vMerge/>
            <w:tcBorders>
              <w:top w:val="single" w:sz="4" w:space="0" w:color="auto"/>
              <w:left w:val="single" w:sz="4" w:space="0" w:color="auto"/>
              <w:bottom w:val="single" w:sz="4" w:space="0" w:color="auto"/>
              <w:right w:val="single" w:sz="4" w:space="0" w:color="auto"/>
            </w:tcBorders>
            <w:vAlign w:val="center"/>
          </w:tcPr>
          <w:p/>
        </w:tc>
        <w:tc>
          <w:tcPr>
            <w:tcW w:w="2032" w:type="dxa"/>
            <w:vMerge/>
            <w:tcBorders>
              <w:top w:val="single" w:sz="4" w:space="0" w:color="auto"/>
              <w:left w:val="single" w:sz="4" w:space="0" w:color="auto"/>
              <w:bottom w:val="single" w:sz="4" w:space="0" w:color="auto"/>
              <w:right w:val="single" w:sz="4" w:space="0" w:color="auto"/>
            </w:tcBorders>
            <w:vAlign w:val="center"/>
          </w:tcPr>
          <w:p/>
        </w:tc>
        <w:tc>
          <w:tcPr>
            <w:tcW w:w="4005"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行政处罚立案后事先告知书送达前未改正的</w:t>
            </w:r>
          </w:p>
        </w:tc>
        <w:tc>
          <w:tcPr>
            <w:tcW w:w="2025" w:type="dxa"/>
            <w:vMerge/>
            <w:tcBorders>
              <w:top w:val="single" w:sz="4" w:space="0" w:color="auto"/>
              <w:left w:val="single" w:sz="4" w:space="0" w:color="auto"/>
              <w:bottom w:val="single" w:sz="4" w:space="0" w:color="auto"/>
              <w:right w:val="single" w:sz="4" w:space="0" w:color="auto"/>
            </w:tcBorders>
            <w:vAlign w:val="center"/>
          </w:tcPr>
          <w:p/>
        </w:tc>
        <w:tc>
          <w:tcPr>
            <w:tcW w:w="4239"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处应交纳资金百分之二十以上百分之三十以下罚款</w:t>
            </w:r>
          </w:p>
        </w:tc>
      </w:tr>
    </w:tbl>
    <w:p>
      <w:pPr>
        <w:rPr>
          <w:rFonts w:ascii="仿宋" w:eastAsia="仿宋" w:cs="仿宋" w:hAnsi="仿宋"/>
        </w:rPr>
      </w:pPr>
    </w:p>
    <w:tbl>
      <w:tblPr>
        <w:jc w:val="left"/>
        <w:tblInd w:w="8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721"/>
        <w:gridCol w:w="5977"/>
        <w:gridCol w:w="2100"/>
        <w:gridCol w:w="4224"/>
      </w:tblGrid>
      <w:tr>
        <w:trPr>
          <w:trHeight w:val="285"/>
        </w:trPr>
        <w:tc>
          <w:tcPr>
            <w:tcW w:w="1721" w:type="dxa"/>
            <w:tcBorders>
              <w:top w:val="single" w:sz="8" w:space="0" w:color="auto"/>
              <w:left w:val="single" w:sz="8" w:space="0" w:color="auto"/>
              <w:bottom w:val="single" w:sz="8" w:space="0" w:color="auto"/>
              <w:right w:val="single" w:sz="4"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行为名称</w:t>
            </w:r>
          </w:p>
        </w:tc>
        <w:tc>
          <w:tcPr>
            <w:tcW w:w="12301" w:type="dxa"/>
            <w:gridSpan w:val="3"/>
            <w:tcBorders>
              <w:top w:val="single" w:sz="8" w:space="0" w:color="auto"/>
              <w:left w:val="nil"/>
              <w:bottom w:val="single" w:sz="8" w:space="0" w:color="auto"/>
              <w:right w:val="single" w:sz="8" w:space="0" w:color="000000"/>
            </w:tcBorders>
            <w:vAlign w:val="center"/>
          </w:tcPr>
          <w:p>
            <w:pPr>
              <w:spacing w:line="360" w:lineRule="exact"/>
              <w:rPr>
                <w:rFonts w:ascii="仿宋" w:eastAsia="仿宋" w:cs="仿宋" w:hAnsi="仿宋"/>
                <w:sz w:val="24"/>
              </w:rPr>
            </w:pPr>
            <w:r>
              <w:rPr>
                <w:rFonts w:ascii="仿宋" w:eastAsia="仿宋" w:cs="仿宋" w:hAnsi="仿宋" w:hint="eastAsia"/>
                <w:b/>
                <w:bCs/>
                <w:sz w:val="24"/>
              </w:rPr>
              <w:t>对建设单位未按照要求配置物业服务用房的处罚</w:t>
            </w:r>
          </w:p>
        </w:tc>
      </w:tr>
      <w:tr>
        <w:trPr>
          <w:trHeight w:val="285"/>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法律依据</w:t>
            </w:r>
          </w:p>
        </w:tc>
        <w:tc>
          <w:tcPr>
            <w:tcW w:w="12301" w:type="dxa"/>
            <w:gridSpan w:val="3"/>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【地方性法规】《南京市住宅物业管理条例》 </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第七十三条第二款 违反本条例第三十四条规定，未按照要求配置物业服务用房的，由区物业管理行政主管部门责令限期改正，给予警告，没收违法所得，并处二十万元以上五十万元以下罚款。</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第三十四条 建设单位依照法律、法规规定的程序通过招标、投标选聘前期物业服务企业，签订前期物业服务合同。建设单位与物业买受人签订的商品房买卖合同的附件应当包括前期物业服务合同和临时管理规约。</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前期物业服务合同中应当载明下列内容：</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（一）物业服务内容、标准、收费价格和委托代收费事项；</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（二）各分项服务的标准（含人员配置）和费用分项测算；</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（三）分项费用和主要成本变动联动调整的约定；</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（四）物业服务标准的评估方式；</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（五）物业服务用房（含业主委员会议事活动用房）的面积和位置；</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（六）共用部位、共用设施设备清册；</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（七）业主共有资金专用账户的设立、查询方式，以及利用共用部位、共用设施设备开展经营活动所得收益的核算及分配办法；</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（八）违约责任和合同解除的条件；</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（九）与前期物业服务有关的其他事项。</w:t>
            </w:r>
          </w:p>
          <w:p>
            <w:pPr>
              <w:spacing w:line="360" w:lineRule="exact"/>
              <w:ind w:firstLineChars="200" w:firstLine="480"/>
              <w:rPr>
                <w:rFonts w:ascii="仿宋" w:eastAsia="仿宋" w:cs="仿宋" w:hAnsi="仿宋"/>
                <w:color w:val="000000"/>
                <w:sz w:val="24"/>
              </w:rPr>
            </w:pPr>
            <w:r>
              <w:rPr>
                <w:rFonts w:ascii="仿宋" w:eastAsia="仿宋" w:cs="仿宋" w:hAnsi="仿宋" w:hint="eastAsia"/>
                <w:color w:val="000000"/>
                <w:sz w:val="24"/>
                <w:szCs w:val="24"/>
              </w:rPr>
              <w:t>《江苏省物业管理条例》:</w:t>
            </w:r>
          </w:p>
          <w:p>
            <w:pPr>
              <w:spacing w:line="360" w:lineRule="exact"/>
              <w:ind w:firstLineChars="200" w:firstLine="480"/>
              <w:rPr>
                <w:rFonts w:ascii="仿宋" w:eastAsia="仿宋" w:cs="仿宋" w:hAnsi="仿宋"/>
                <w:color w:val="000000"/>
                <w:sz w:val="24"/>
              </w:rPr>
            </w:pPr>
            <w:r>
              <w:rPr>
                <w:rFonts w:ascii="仿宋" w:eastAsia="仿宋" w:cs="仿宋" w:hAnsi="仿宋" w:hint="eastAsia"/>
                <w:color w:val="000000"/>
                <w:sz w:val="24"/>
                <w:szCs w:val="24"/>
              </w:rPr>
              <w:t>第三十五条 新建住宅物业管理区域内，建设单位应当按照不低于地上地下总建筑面积千分之四的比例配置物业服务用房，低于一百平方米的按照一百平方米配置，并无偿移交。其中，用于业主委员会议事活动用房的，应当按照配置物业服务用房的比例合理确定，一般按照建筑面积二十至四十平方米配置。</w:t>
            </w:r>
          </w:p>
          <w:p>
            <w:pPr>
              <w:spacing w:line="360" w:lineRule="exact"/>
              <w:ind w:firstLineChars="200" w:firstLine="480"/>
              <w:rPr>
                <w:rFonts w:ascii="仿宋" w:eastAsia="仿宋" w:cs="仿宋" w:hAnsi="仿宋"/>
                <w:color w:val="000000"/>
                <w:sz w:val="24"/>
              </w:rPr>
            </w:pPr>
            <w:r>
              <w:rPr>
                <w:rFonts w:ascii="仿宋" w:eastAsia="仿宋" w:cs="仿宋" w:hAnsi="仿宋" w:hint="eastAsia"/>
                <w:color w:val="000000"/>
                <w:sz w:val="24"/>
                <w:szCs w:val="24"/>
              </w:rPr>
              <w:t>集中建设的保障性住房还应当按照不低于总建筑面积千分之三增加配置物业服务经营性用房，收益用于弥补物业费不足。</w:t>
            </w:r>
          </w:p>
          <w:p>
            <w:pPr>
              <w:spacing w:line="360" w:lineRule="exact"/>
              <w:ind w:firstLineChars="200" w:firstLine="480"/>
              <w:rPr>
                <w:rFonts w:ascii="仿宋" w:eastAsia="仿宋" w:cs="仿宋" w:hAnsi="仿宋"/>
                <w:color w:val="000000"/>
                <w:sz w:val="24"/>
              </w:rPr>
            </w:pPr>
            <w:r>
              <w:rPr>
                <w:rFonts w:ascii="仿宋" w:eastAsia="仿宋" w:cs="仿宋" w:hAnsi="仿宋" w:hint="eastAsia"/>
                <w:color w:val="000000"/>
                <w:sz w:val="24"/>
                <w:szCs w:val="24"/>
              </w:rPr>
              <w:t>配置物业服务用房、业主委员会议事活动用房、物业服务经营性用房的具体标准，由设区的市人民政府制定。</w:t>
            </w:r>
          </w:p>
          <w:p>
            <w:pPr>
              <w:spacing w:line="360" w:lineRule="exact"/>
              <w:ind w:firstLineChars="200" w:firstLine="480"/>
              <w:rPr>
                <w:rFonts w:ascii="仿宋" w:eastAsia="仿宋" w:cs="仿宋" w:hAnsi="仿宋"/>
                <w:color w:val="000000"/>
                <w:sz w:val="24"/>
              </w:rPr>
            </w:pPr>
            <w:r>
              <w:rPr>
                <w:rFonts w:ascii="仿宋" w:eastAsia="仿宋" w:cs="仿宋" w:hAnsi="仿宋" w:hint="eastAsia"/>
                <w:color w:val="000000"/>
                <w:sz w:val="24"/>
                <w:szCs w:val="24"/>
              </w:rPr>
              <w:t>第三十六条 物业服务用房应当是地面以上的房屋，由建设单位装修，具备独立、正常使用功能，相对集中安排在住宅小区中心区域或者住宅小区出入口附近。物业服务用房设置在住宅楼内的，应当具有独立的通道。</w:t>
            </w:r>
          </w:p>
          <w:p>
            <w:pPr>
              <w:spacing w:line="360" w:lineRule="exact"/>
              <w:ind w:firstLineChars="200" w:firstLine="480"/>
              <w:rPr>
                <w:rFonts w:ascii="仿宋" w:eastAsia="仿宋" w:cs="仿宋" w:hAnsi="仿宋"/>
                <w:color w:val="000000"/>
                <w:sz w:val="24"/>
              </w:rPr>
            </w:pPr>
            <w:r>
              <w:rPr>
                <w:rFonts w:ascii="仿宋" w:eastAsia="仿宋" w:cs="仿宋" w:hAnsi="仿宋" w:hint="eastAsia"/>
                <w:color w:val="000000"/>
                <w:sz w:val="24"/>
                <w:szCs w:val="24"/>
              </w:rPr>
              <w:t>物业服务用房不计入分摊公用建筑面积，其所有权属于全体业主。建设单位在申请办理房屋所有权初始登记时，应当注明物业服务用房并申请登记。</w:t>
            </w:r>
          </w:p>
        </w:tc>
      </w:tr>
      <w:tr>
        <w:trPr>
          <w:trHeight w:val="285"/>
        </w:trPr>
        <w:tc>
          <w:tcPr>
            <w:tcW w:w="1721" w:type="dxa"/>
            <w:tcBorders>
              <w:top w:val="single" w:sz="8" w:space="0" w:color="auto"/>
              <w:left w:val="single" w:sz="8" w:space="0" w:color="auto"/>
              <w:bottom w:val="single" w:sz="4"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处罚种类</w:t>
            </w:r>
          </w:p>
        </w:tc>
        <w:tc>
          <w:tcPr>
            <w:tcW w:w="12301" w:type="dxa"/>
            <w:gridSpan w:val="3"/>
            <w:tcBorders>
              <w:top w:val="single" w:sz="8" w:space="0" w:color="auto"/>
              <w:left w:val="single" w:sz="8" w:space="0" w:color="auto"/>
              <w:bottom w:val="single" w:sz="4"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警告，没收违法所得，罚款</w:t>
            </w:r>
          </w:p>
        </w:tc>
      </w:tr>
      <w:tr>
        <w:trPr>
          <w:trHeight w:val="285"/>
        </w:trPr>
        <w:tc>
          <w:tcPr>
            <w:tcW w:w="14022" w:type="dxa"/>
            <w:gridSpan w:val="4"/>
            <w:tcBorders>
              <w:top w:val="single" w:sz="8" w:space="0" w:color="auto"/>
              <w:left w:val="single" w:sz="8" w:space="0" w:color="auto"/>
              <w:bottom w:val="single" w:sz="4"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自由裁量基准</w:t>
            </w:r>
          </w:p>
        </w:tc>
      </w:tr>
      <w:tr>
        <w:trPr>
          <w:trHeight w:val="285"/>
        </w:trPr>
        <w:tc>
          <w:tcPr>
            <w:tcW w:w="1721" w:type="dxa"/>
            <w:vMerge w:val="restart"/>
            <w:tcBorders>
              <w:top w:val="single" w:sz="4" w:space="0" w:color="auto"/>
              <w:left w:val="single" w:sz="4" w:space="0" w:color="auto"/>
              <w:bottom w:val="single" w:sz="4" w:space="0" w:color="auto"/>
              <w:right w:val="single" w:sz="4" w:space="0" w:color="auto"/>
            </w:tcBorders>
            <w:vAlign w:val="center"/>
          </w:tcPr>
          <w:p>
            <w:pPr>
              <w:widowControl/>
              <w:spacing w:line="360" w:lineRule="exact"/>
              <w:jc w:val="center"/>
              <w:rPr>
                <w:rFonts w:ascii="仿宋" w:eastAsia="仿宋" w:cs="仿宋" w:hAnsi="仿宋"/>
                <w:kern w:val="0"/>
                <w:sz w:val="24"/>
              </w:rPr>
            </w:pPr>
            <w:r>
              <w:rPr>
                <w:rFonts w:ascii="仿宋" w:eastAsia="仿宋" w:cs="仿宋" w:hAnsi="仿宋" w:hint="eastAsia"/>
                <w:kern w:val="0"/>
                <w:sz w:val="24"/>
              </w:rPr>
              <w:t>情形描述</w:t>
            </w:r>
          </w:p>
        </w:tc>
        <w:tc>
          <w:tcPr>
            <w:tcW w:w="5977"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kern w:val="0"/>
                <w:sz w:val="24"/>
              </w:rPr>
            </w:pPr>
            <w:r>
              <w:rPr>
                <w:rFonts w:ascii="仿宋" w:eastAsia="仿宋" w:cs="仿宋" w:hAnsi="仿宋" w:hint="eastAsia"/>
                <w:kern w:val="0"/>
                <w:sz w:val="24"/>
              </w:rPr>
              <w:t>配置物业服务用房面积在规定标准3/4以上但未达到规定标准的。配置位置不符合规定的从重处罚</w:t>
            </w:r>
          </w:p>
        </w:tc>
        <w:tc>
          <w:tcPr>
            <w:tcW w:w="2100" w:type="dxa"/>
            <w:vMerge w:val="restart"/>
            <w:tcBorders>
              <w:top w:val="single" w:sz="4" w:space="0" w:color="auto"/>
              <w:left w:val="single" w:sz="4" w:space="0" w:color="auto"/>
              <w:bottom w:val="single" w:sz="4" w:space="0" w:color="auto"/>
              <w:right w:val="single" w:sz="4" w:space="0" w:color="auto"/>
            </w:tcBorders>
            <w:vAlign w:val="center"/>
          </w:tcPr>
          <w:p>
            <w:pPr>
              <w:widowControl/>
              <w:spacing w:line="360" w:lineRule="exact"/>
              <w:jc w:val="center"/>
              <w:rPr>
                <w:rFonts w:ascii="仿宋" w:eastAsia="仿宋" w:cs="仿宋" w:hAnsi="仿宋"/>
                <w:kern w:val="0"/>
                <w:sz w:val="24"/>
              </w:rPr>
            </w:pPr>
            <w:r>
              <w:rPr>
                <w:rFonts w:ascii="仿宋" w:eastAsia="仿宋" w:cs="仿宋" w:hAnsi="仿宋" w:hint="eastAsia"/>
                <w:kern w:val="0"/>
                <w:sz w:val="24"/>
              </w:rPr>
              <w:t>裁量幅度</w:t>
            </w:r>
          </w:p>
        </w:tc>
        <w:tc>
          <w:tcPr>
            <w:tcW w:w="4224"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kern w:val="0"/>
                <w:sz w:val="24"/>
              </w:rPr>
            </w:pPr>
            <w:r>
              <w:rPr>
                <w:rFonts w:ascii="仿宋" w:eastAsia="仿宋" w:cs="仿宋" w:hAnsi="仿宋" w:hint="eastAsia"/>
                <w:kern w:val="0"/>
                <w:sz w:val="24"/>
              </w:rPr>
              <w:t>警告，没收违法所得，并处二十万元以上三十万元以下罚款</w:t>
            </w:r>
          </w:p>
        </w:tc>
      </w:tr>
      <w:tr>
        <w:trPr>
          <w:trHeight w:val="285"/>
        </w:trPr>
        <w:tc>
          <w:tcPr>
            <w:tcW w:w="1721" w:type="dxa"/>
            <w:vMerge/>
            <w:tcBorders>
              <w:top w:val="single" w:sz="4" w:space="0" w:color="auto"/>
              <w:left w:val="single" w:sz="4" w:space="0" w:color="auto"/>
              <w:bottom w:val="single" w:sz="4" w:space="0" w:color="auto"/>
              <w:right w:val="single" w:sz="4" w:space="0" w:color="auto"/>
            </w:tcBorders>
            <w:vAlign w:val="center"/>
          </w:tcPr>
          <w:p/>
        </w:tc>
        <w:tc>
          <w:tcPr>
            <w:tcW w:w="5977"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kern w:val="0"/>
                <w:sz w:val="24"/>
              </w:rPr>
            </w:pPr>
            <w:r>
              <w:rPr>
                <w:rFonts w:ascii="仿宋" w:eastAsia="仿宋" w:cs="仿宋" w:hAnsi="仿宋" w:hint="eastAsia"/>
                <w:kern w:val="0"/>
                <w:sz w:val="24"/>
              </w:rPr>
              <w:t>配置物业服务用房面积在规定标准1/2至3/4的。配置位置不符合规定的从重处罚</w:t>
            </w:r>
          </w:p>
        </w:tc>
        <w:tc>
          <w:tcPr>
            <w:tcW w:w="2100" w:type="dxa"/>
            <w:vMerge/>
            <w:tcBorders>
              <w:top w:val="single" w:sz="4" w:space="0" w:color="auto"/>
              <w:left w:val="single" w:sz="4" w:space="0" w:color="auto"/>
              <w:bottom w:val="single" w:sz="4" w:space="0" w:color="auto"/>
              <w:right w:val="single" w:sz="4" w:space="0" w:color="auto"/>
            </w:tcBorders>
            <w:vAlign w:val="center"/>
          </w:tcPr>
          <w:p/>
        </w:tc>
        <w:tc>
          <w:tcPr>
            <w:tcW w:w="4224"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kern w:val="0"/>
                <w:sz w:val="24"/>
              </w:rPr>
            </w:pPr>
            <w:r>
              <w:rPr>
                <w:rFonts w:ascii="仿宋" w:eastAsia="仿宋" w:cs="仿宋" w:hAnsi="仿宋" w:hint="eastAsia"/>
                <w:kern w:val="0"/>
                <w:sz w:val="24"/>
              </w:rPr>
              <w:t>警告，没收违法所得，并处三十万元以上四十万元以下罚款</w:t>
            </w:r>
          </w:p>
        </w:tc>
      </w:tr>
      <w:tr>
        <w:trPr>
          <w:trHeight w:val="285"/>
        </w:trPr>
        <w:tc>
          <w:tcPr>
            <w:tcW w:w="1721" w:type="dxa"/>
            <w:vMerge/>
            <w:tcBorders>
              <w:top w:val="single" w:sz="4" w:space="0" w:color="auto"/>
              <w:left w:val="single" w:sz="4" w:space="0" w:color="auto"/>
              <w:bottom w:val="single" w:sz="4" w:space="0" w:color="auto"/>
              <w:right w:val="single" w:sz="4" w:space="0" w:color="auto"/>
            </w:tcBorders>
            <w:vAlign w:val="center"/>
          </w:tcPr>
          <w:p/>
        </w:tc>
        <w:tc>
          <w:tcPr>
            <w:tcW w:w="5977"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kern w:val="0"/>
                <w:sz w:val="24"/>
              </w:rPr>
            </w:pPr>
            <w:r>
              <w:rPr>
                <w:rFonts w:ascii="仿宋" w:eastAsia="仿宋" w:cs="仿宋" w:hAnsi="仿宋" w:hint="eastAsia"/>
                <w:kern w:val="0"/>
                <w:sz w:val="24"/>
              </w:rPr>
              <w:t>配置物业服务用房面积不足规定标准1/2的。配置位置不符合规定的从重处罚</w:t>
            </w:r>
          </w:p>
        </w:tc>
        <w:tc>
          <w:tcPr>
            <w:tcW w:w="2100" w:type="dxa"/>
            <w:vMerge/>
            <w:tcBorders>
              <w:top w:val="single" w:sz="4" w:space="0" w:color="auto"/>
              <w:left w:val="single" w:sz="4" w:space="0" w:color="auto"/>
              <w:bottom w:val="single" w:sz="4" w:space="0" w:color="auto"/>
              <w:right w:val="single" w:sz="4" w:space="0" w:color="auto"/>
            </w:tcBorders>
            <w:vAlign w:val="center"/>
          </w:tcPr>
          <w:p/>
        </w:tc>
        <w:tc>
          <w:tcPr>
            <w:tcW w:w="4224"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kern w:val="0"/>
                <w:sz w:val="24"/>
              </w:rPr>
            </w:pPr>
            <w:r>
              <w:rPr>
                <w:rFonts w:ascii="仿宋" w:eastAsia="仿宋" w:cs="仿宋" w:hAnsi="仿宋" w:hint="eastAsia"/>
                <w:kern w:val="0"/>
                <w:sz w:val="24"/>
              </w:rPr>
              <w:t>警告，没收违法所得，并处四十万元以上五十万元以下罚款</w:t>
            </w:r>
          </w:p>
        </w:tc>
      </w:tr>
    </w:tbl>
    <w:p>
      <w:pPr>
        <w:rPr>
          <w:rFonts w:ascii="仿宋" w:eastAsia="仿宋" w:cs="仿宋" w:hAnsi="仿宋"/>
        </w:rPr>
      </w:pPr>
    </w:p>
    <w:tbl>
      <w:tblPr>
        <w:jc w:val="left"/>
        <w:tblInd w:w="8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721"/>
        <w:gridCol w:w="2062"/>
        <w:gridCol w:w="3930"/>
        <w:gridCol w:w="2115"/>
        <w:gridCol w:w="4194"/>
      </w:tblGrid>
      <w:tr>
        <w:trPr>
          <w:trHeight w:val="285"/>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行为名称</w:t>
            </w:r>
          </w:p>
        </w:tc>
        <w:tc>
          <w:tcPr>
            <w:tcW w:w="12301" w:type="dxa"/>
            <w:gridSpan w:val="4"/>
            <w:tcBorders>
              <w:top w:val="single" w:sz="8" w:space="0" w:color="auto"/>
              <w:left w:val="single" w:sz="8" w:space="0" w:color="auto"/>
              <w:bottom w:val="single" w:sz="8" w:space="0" w:color="auto"/>
              <w:right w:val="single" w:sz="8" w:space="0" w:color="auto"/>
            </w:tcBorders>
            <w:vAlign w:val="center"/>
          </w:tcPr>
          <w:p>
            <w:pPr>
              <w:spacing w:line="360" w:lineRule="exact"/>
              <w:rPr>
                <w:rFonts w:ascii="仿宋" w:eastAsia="仿宋" w:cs="仿宋" w:hAnsi="仿宋"/>
                <w:sz w:val="24"/>
              </w:rPr>
            </w:pPr>
            <w:r>
              <w:rPr>
                <w:rFonts w:ascii="仿宋" w:eastAsia="仿宋" w:cs="仿宋" w:hAnsi="仿宋" w:hint="eastAsia"/>
                <w:b/>
                <w:bCs/>
                <w:sz w:val="24"/>
              </w:rPr>
              <w:t>对物业服务企业未公示相关信息的处罚</w:t>
            </w:r>
          </w:p>
        </w:tc>
      </w:tr>
      <w:tr>
        <w:trPr>
          <w:trHeight w:val="285"/>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法律依据</w:t>
            </w:r>
          </w:p>
        </w:tc>
        <w:tc>
          <w:tcPr>
            <w:tcW w:w="12301" w:type="dxa"/>
            <w:gridSpan w:val="4"/>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【地方性法规】《南京市住宅物业管理条例》 </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第七十四条  物业服务企业违反本条例第四十四条规定，未公示相关信息的，由区物业管理行政主管部门责令限期改正；逾期不改正的，处三万元以上五万元以下罚款。</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第四十四条  物业服务企业应当将下列信息在物业管理区域内显著位置公示：</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（一）物业服务企业的资质证书、项目负责人的基本情况、联系方式、物业服务投诉电话；</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（二）物业服务合同约定的服务内容、服务标准、收费项目、收费标准、收费方式等；</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（三）电梯、消防、监控等专项设施设备的日常维修保养单位的名称、资质、联系方式和应急处置方案等；</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（四）业主交纳物业服务费用、公共水电分摊费用情况，住宅专项维修资金使用情况、物业共用部位和共用设施设备经营所得收益；</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（五）房屋装饰装修及使用过程中的结构变动等安全事项；</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（六）其他应当公示的信息。</w:t>
            </w:r>
          </w:p>
          <w:p>
            <w:pPr>
              <w:widowControl/>
              <w:spacing w:line="36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业主对公示内容有异议的，物业服务企业应当予以答复。</w:t>
            </w:r>
          </w:p>
        </w:tc>
      </w:tr>
      <w:tr>
        <w:trPr>
          <w:trHeight w:val="285"/>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处罚种类</w:t>
            </w:r>
          </w:p>
        </w:tc>
        <w:tc>
          <w:tcPr>
            <w:tcW w:w="12301" w:type="dxa"/>
            <w:gridSpan w:val="4"/>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罚款</w:t>
            </w:r>
          </w:p>
        </w:tc>
      </w:tr>
      <w:tr>
        <w:trPr>
          <w:trHeight w:val="285"/>
        </w:trPr>
        <w:tc>
          <w:tcPr>
            <w:tcW w:w="14022" w:type="dxa"/>
            <w:gridSpan w:val="5"/>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自由裁量基准</w:t>
            </w:r>
          </w:p>
        </w:tc>
      </w:tr>
      <w:tr>
        <w:trPr>
          <w:trHeight w:val="413"/>
        </w:trPr>
        <w:tc>
          <w:tcPr>
            <w:tcW w:w="1721" w:type="dxa"/>
            <w:vMerge w:val="restart"/>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情形描述</w:t>
            </w:r>
          </w:p>
        </w:tc>
        <w:tc>
          <w:tcPr>
            <w:tcW w:w="2062" w:type="dxa"/>
            <w:vMerge w:val="restart"/>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逾期不改正的</w:t>
            </w:r>
          </w:p>
        </w:tc>
        <w:tc>
          <w:tcPr>
            <w:tcW w:w="3930"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未公示本条例第四十四条中三项以下资料的</w:t>
            </w:r>
          </w:p>
        </w:tc>
        <w:tc>
          <w:tcPr>
            <w:tcW w:w="2115" w:type="dxa"/>
            <w:vMerge w:val="restart"/>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裁量幅度</w:t>
            </w:r>
          </w:p>
        </w:tc>
        <w:tc>
          <w:tcPr>
            <w:tcW w:w="4194" w:type="dxa"/>
            <w:tcBorders>
              <w:top w:val="single" w:sz="8" w:space="0" w:color="auto"/>
              <w:left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处三万元以上四万元以下罚款</w:t>
            </w:r>
          </w:p>
        </w:tc>
      </w:tr>
      <w:tr>
        <w:trPr>
          <w:trHeight w:val="285"/>
        </w:trPr>
        <w:tc>
          <w:tcPr>
            <w:tcW w:w="1721" w:type="dxa"/>
            <w:vMerge/>
            <w:tcBorders>
              <w:top w:val="single" w:sz="8" w:space="0" w:color="auto"/>
              <w:left w:val="single" w:sz="8" w:space="0" w:color="auto"/>
              <w:bottom w:val="single" w:sz="8" w:space="0" w:color="auto"/>
              <w:right w:val="single" w:sz="8" w:space="0" w:color="auto"/>
            </w:tcBorders>
            <w:vAlign w:val="center"/>
          </w:tcPr>
          <w:p/>
        </w:tc>
        <w:tc>
          <w:tcPr>
            <w:tcW w:w="2062" w:type="dxa"/>
            <w:vMerge/>
            <w:tcBorders>
              <w:top w:val="single" w:sz="8" w:space="0" w:color="auto"/>
              <w:left w:val="single" w:sz="8" w:space="0" w:color="auto"/>
              <w:bottom w:val="single" w:sz="8" w:space="0" w:color="auto"/>
              <w:right w:val="single" w:sz="8" w:space="0" w:color="auto"/>
            </w:tcBorders>
            <w:vAlign w:val="center"/>
          </w:tcPr>
          <w:p/>
        </w:tc>
        <w:tc>
          <w:tcPr>
            <w:tcW w:w="3930"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未公示本条例第四十四条中三项以上资料的</w:t>
            </w:r>
          </w:p>
        </w:tc>
        <w:tc>
          <w:tcPr>
            <w:tcW w:w="2115" w:type="dxa"/>
            <w:vMerge/>
            <w:tcBorders>
              <w:top w:val="single" w:sz="8" w:space="0" w:color="auto"/>
              <w:left w:val="single" w:sz="8" w:space="0" w:color="auto"/>
              <w:bottom w:val="single" w:sz="8" w:space="0" w:color="auto"/>
              <w:right w:val="single" w:sz="8" w:space="0" w:color="auto"/>
            </w:tcBorders>
            <w:vAlign w:val="center"/>
          </w:tcPr>
          <w:p/>
        </w:tc>
        <w:tc>
          <w:tcPr>
            <w:tcW w:w="4194"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处四万元以上五万元以下罚款</w:t>
            </w:r>
          </w:p>
        </w:tc>
      </w:tr>
    </w:tbl>
    <w:p>
      <w:pPr>
        <w:pStyle w:val="60"/>
      </w:pPr>
    </w:p>
    <w:p>
      <w:pPr>
        <w:widowControl/>
        <w:jc w:val="center"/>
      </w:pPr>
      <w:r>
        <w:rPr>
          <w:rFonts w:ascii="方正小标宋_GBK" w:eastAsia="方正小标宋_GBK" w:hint="eastAsia"/>
          <w:snapToGrid w:val="0"/>
          <w:color w:val="000000"/>
          <w:kern w:val="0"/>
          <w:sz w:val="32"/>
          <w:szCs w:val="32"/>
        </w:rPr>
        <w:t>二、房屋租赁类</w:t>
      </w:r>
    </w:p>
    <w:tbl>
      <w:tblPr>
        <w:jc w:val="left"/>
        <w:tblInd w:w="8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721"/>
        <w:gridCol w:w="1551"/>
        <w:gridCol w:w="840"/>
        <w:gridCol w:w="3631"/>
        <w:gridCol w:w="2055"/>
        <w:gridCol w:w="4224"/>
      </w:tblGrid>
      <w:tr>
        <w:trPr>
          <w:trHeight w:val="380"/>
        </w:trPr>
        <w:tc>
          <w:tcPr>
            <w:tcW w:w="1721" w:type="dxa"/>
            <w:tcBorders>
              <w:top w:val="single" w:sz="8" w:space="0" w:color="auto"/>
              <w:left w:val="single" w:sz="8" w:space="0" w:color="auto"/>
              <w:bottom w:val="single" w:sz="8" w:space="0" w:color="auto"/>
              <w:right w:val="single" w:sz="4"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行为名称</w:t>
            </w:r>
          </w:p>
        </w:tc>
        <w:tc>
          <w:tcPr>
            <w:tcW w:w="12301" w:type="dxa"/>
            <w:gridSpan w:val="5"/>
            <w:tcBorders>
              <w:top w:val="single" w:sz="8" w:space="0" w:color="auto"/>
              <w:left w:val="nil"/>
              <w:bottom w:val="single" w:sz="8" w:space="0" w:color="auto"/>
              <w:right w:val="single" w:sz="8" w:space="0" w:color="000000"/>
            </w:tcBorders>
            <w:vAlign w:val="center"/>
          </w:tcPr>
          <w:p>
            <w:pPr>
              <w:spacing w:line="540" w:lineRule="exact"/>
              <w:jc w:val="left"/>
              <w:rPr>
                <w:rFonts w:ascii="仿宋" w:eastAsia="仿宋" w:cs="仿宋" w:hAnsi="仿宋"/>
                <w:sz w:val="24"/>
              </w:rPr>
            </w:pPr>
            <w:r>
              <w:rPr>
                <w:rFonts w:ascii="仿宋" w:eastAsia="仿宋" w:cs="仿宋" w:hAnsi="仿宋" w:hint="eastAsia"/>
                <w:b/>
                <w:bCs/>
                <w:sz w:val="24"/>
              </w:rPr>
              <w:t>对房屋租赁当事人、住房租赁企业或者房地产经纪机构提交虚假住房租赁登记备案材料的处罚</w:t>
            </w:r>
          </w:p>
        </w:tc>
      </w:tr>
      <w:tr>
        <w:trPr>
          <w:trHeight w:val="285"/>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法律依据</w:t>
            </w:r>
          </w:p>
        </w:tc>
        <w:tc>
          <w:tcPr>
            <w:tcW w:w="12301" w:type="dxa"/>
            <w:gridSpan w:val="5"/>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【地方政府规章】《南京市房屋租赁管理办法》（南京市人民政府令第338号）</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第四十三条 违反本办法第十四条规定，房屋租赁当事人、住房租赁企业或者房地产经纪机构提交虚假住房租赁登记备案材料的，由房产部门责令限期改正；逾期未改正的，对个人处一百元以上五百元以下罚款，对单位处一万元以上三万元以下罚款。</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第十四条 房屋租赁当事人应当在签订房屋租赁合同后三十日内，向房屋所在地房产部门或者其委托的镇人民政府、街道办事处申请房屋租赁登记备案，并提交下列材料：</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（一）房屋权属证书或者其他房屋权属材料；</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（二）房屋租赁合同；</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（三）房屋租赁当事人身份证件等合法证明。</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房屋租赁合同变更或者解除的，房屋租赁当事人应当在三十日内向原备案机关申请办理房屋租赁登记备案变更后者注销手续。</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住房租赁企业出租住房的，由住房租赁企业办理房屋租赁登记备案。房地产经纪机构促成房屋租赁合同订立的，可以代为办理房屋租赁登记备案。</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房屋租赁当事人、住房租赁企业和房地产经纪机构提交的材料应当真实、合法、有效，不得提交虚假材料。</w:t>
            </w:r>
          </w:p>
        </w:tc>
      </w:tr>
      <w:tr>
        <w:trPr>
          <w:trHeight w:val="542"/>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处罚种类</w:t>
            </w:r>
          </w:p>
        </w:tc>
        <w:tc>
          <w:tcPr>
            <w:tcW w:w="12301" w:type="dxa"/>
            <w:gridSpan w:val="5"/>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罚款</w:t>
            </w:r>
          </w:p>
        </w:tc>
      </w:tr>
      <w:tr>
        <w:trPr>
          <w:trHeight w:val="285"/>
        </w:trPr>
        <w:tc>
          <w:tcPr>
            <w:tcW w:w="14022" w:type="dxa"/>
            <w:gridSpan w:val="6"/>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自由裁量基准</w:t>
            </w:r>
          </w:p>
        </w:tc>
      </w:tr>
      <w:tr>
        <w:trPr>
          <w:trHeight w:val="285"/>
        </w:trPr>
        <w:tc>
          <w:tcPr>
            <w:tcW w:w="1721" w:type="dxa"/>
            <w:vMerge w:val="restart"/>
            <w:tcBorders>
              <w:top w:val="single" w:sz="8" w:space="0" w:color="auto"/>
              <w:left w:val="single" w:sz="4" w:space="0" w:color="auto"/>
              <w:bottom w:val="single" w:sz="8" w:space="0" w:color="auto"/>
              <w:right w:val="single" w:sz="4"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情形描述</w:t>
            </w:r>
          </w:p>
        </w:tc>
        <w:tc>
          <w:tcPr>
            <w:tcW w:w="1551" w:type="dxa"/>
            <w:vMerge w:val="restart"/>
            <w:tcBorders>
              <w:top w:val="single" w:sz="8" w:space="0" w:color="auto"/>
              <w:left w:val="single" w:sz="4" w:space="0" w:color="auto"/>
              <w:bottom w:val="single" w:sz="8" w:space="0" w:color="auto"/>
              <w:right w:val="single" w:sz="4" w:space="0" w:color="auto"/>
            </w:tcBorders>
            <w:vAlign w:val="center"/>
          </w:tcPr>
          <w:p>
            <w:pPr>
              <w:widowControl/>
              <w:spacing w:line="320" w:lineRule="exact"/>
              <w:jc w:val="center"/>
              <w:rPr>
                <w:rFonts w:ascii="仿宋" w:eastAsia="仿宋" w:cs="仿宋" w:hAnsi="仿宋"/>
                <w:color w:val="000000"/>
                <w:kern w:val="0"/>
                <w:sz w:val="24"/>
              </w:rPr>
            </w:pPr>
          </w:p>
          <w:p>
            <w:pPr>
              <w:widowControl/>
              <w:spacing w:line="320" w:lineRule="exact"/>
              <w:jc w:val="center"/>
              <w:rPr>
                <w:rFonts w:ascii="仿宋" w:eastAsia="仿宋" w:cs="仿宋" w:hAnsi="仿宋"/>
                <w:color w:val="000000"/>
                <w:kern w:val="0"/>
                <w:sz w:val="24"/>
              </w:rPr>
            </w:pPr>
          </w:p>
          <w:p>
            <w:pPr>
              <w:widowControl/>
              <w:spacing w:line="320" w:lineRule="exact"/>
              <w:jc w:val="center"/>
              <w:rPr>
                <w:rFonts w:ascii="仿宋" w:eastAsia="仿宋" w:cs="仿宋" w:hAnsi="仿宋"/>
                <w:color w:val="000000"/>
                <w:kern w:val="0"/>
                <w:sz w:val="24"/>
              </w:rPr>
            </w:pPr>
          </w:p>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逾期未按照要求改正的</w:t>
            </w:r>
          </w:p>
        </w:tc>
        <w:tc>
          <w:tcPr>
            <w:tcW w:w="840" w:type="dxa"/>
            <w:vMerge w:val="restart"/>
            <w:tcBorders>
              <w:top w:val="single" w:sz="8" w:space="0" w:color="auto"/>
              <w:left w:val="single" w:sz="4" w:space="0" w:color="auto"/>
              <w:bottom w:val="single" w:sz="8" w:space="0" w:color="auto"/>
              <w:right w:val="single" w:sz="4"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个人</w:t>
            </w:r>
          </w:p>
        </w:tc>
        <w:tc>
          <w:tcPr>
            <w:tcW w:w="3631" w:type="dxa"/>
            <w:tcBorders>
              <w:top w:val="single" w:sz="8" w:space="0" w:color="auto"/>
              <w:left w:val="nil"/>
              <w:bottom w:val="single" w:sz="8" w:space="0" w:color="auto"/>
              <w:right w:val="single" w:sz="4"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提供虚假材料涉及第十四条规定的备案材料其中一项的</w:t>
            </w:r>
          </w:p>
        </w:tc>
        <w:tc>
          <w:tcPr>
            <w:tcW w:w="2055" w:type="dxa"/>
            <w:vMerge w:val="restart"/>
            <w:tcBorders>
              <w:top w:val="single" w:sz="8" w:space="0" w:color="auto"/>
              <w:left w:val="nil"/>
              <w:right w:val="single" w:sz="4" w:space="0" w:color="auto"/>
            </w:tcBorders>
            <w:vAlign w:val="center"/>
          </w:tcPr>
          <w:p>
            <w:pPr>
              <w:widowControl/>
              <w:spacing w:line="320" w:lineRule="exact"/>
              <w:jc w:val="center"/>
              <w:rPr>
                <w:rFonts w:ascii="仿宋" w:eastAsia="仿宋" w:cs="仿宋" w:hAnsi="仿宋"/>
                <w:color w:val="000000"/>
                <w:kern w:val="0"/>
                <w:sz w:val="24"/>
              </w:rPr>
            </w:pPr>
          </w:p>
          <w:p>
            <w:pPr>
              <w:widowControl/>
              <w:spacing w:line="320" w:lineRule="exact"/>
              <w:jc w:val="center"/>
              <w:rPr>
                <w:rFonts w:ascii="仿宋" w:eastAsia="仿宋" w:cs="仿宋" w:hAnsi="仿宋"/>
                <w:color w:val="000000"/>
                <w:kern w:val="0"/>
                <w:sz w:val="24"/>
              </w:rPr>
            </w:pPr>
          </w:p>
          <w:p>
            <w:pPr>
              <w:widowControl/>
              <w:spacing w:line="320" w:lineRule="exact"/>
              <w:jc w:val="center"/>
              <w:rPr>
                <w:rFonts w:ascii="仿宋" w:eastAsia="仿宋" w:cs="仿宋" w:hAnsi="仿宋"/>
                <w:color w:val="000000"/>
                <w:kern w:val="0"/>
                <w:sz w:val="24"/>
              </w:rPr>
            </w:pPr>
          </w:p>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裁量幅度</w:t>
            </w:r>
          </w:p>
        </w:tc>
        <w:tc>
          <w:tcPr>
            <w:tcW w:w="4224" w:type="dxa"/>
            <w:tcBorders>
              <w:top w:val="single" w:sz="8" w:space="0" w:color="auto"/>
              <w:left w:val="single" w:sz="4"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处一百元以上二百元以下罚款</w:t>
            </w:r>
          </w:p>
        </w:tc>
      </w:tr>
      <w:tr>
        <w:trPr>
          <w:trHeight w:val="285"/>
        </w:trPr>
        <w:tc>
          <w:tcPr>
            <w:tcW w:w="1721" w:type="dxa"/>
            <w:vMerge/>
            <w:tcBorders>
              <w:top w:val="single" w:sz="8" w:space="0" w:color="auto"/>
              <w:left w:val="single" w:sz="4" w:space="0" w:color="auto"/>
              <w:bottom w:val="single" w:sz="4" w:space="0" w:color="auto"/>
              <w:right w:val="single" w:sz="4" w:space="0" w:color="auto"/>
            </w:tcBorders>
            <w:vAlign w:val="center"/>
          </w:tcPr>
          <w:p/>
        </w:tc>
        <w:tc>
          <w:tcPr>
            <w:tcW w:w="1551" w:type="dxa"/>
            <w:vMerge/>
            <w:tcBorders>
              <w:top w:val="single" w:sz="8" w:space="0" w:color="auto"/>
              <w:left w:val="nil"/>
              <w:bottom w:val="single" w:sz="4" w:space="0" w:color="auto"/>
              <w:right w:val="single" w:sz="4" w:space="0" w:color="auto"/>
            </w:tcBorders>
            <w:vAlign w:val="center"/>
          </w:tcPr>
          <w:p/>
        </w:tc>
        <w:tc>
          <w:tcPr>
            <w:tcW w:w="840" w:type="dxa"/>
            <w:vMerge/>
            <w:tcBorders>
              <w:top w:val="single" w:sz="8" w:space="0" w:color="auto"/>
              <w:left w:val="nil"/>
              <w:bottom w:val="single" w:sz="4" w:space="0" w:color="auto"/>
              <w:right w:val="single" w:sz="4" w:space="0" w:color="auto"/>
            </w:tcBorders>
            <w:vAlign w:val="center"/>
          </w:tcPr>
          <w:p/>
        </w:tc>
        <w:tc>
          <w:tcPr>
            <w:tcW w:w="3631" w:type="dxa"/>
            <w:tcBorders>
              <w:top w:val="single" w:sz="8" w:space="0" w:color="auto"/>
              <w:left w:val="nil"/>
              <w:bottom w:val="single" w:sz="4" w:space="0" w:color="auto"/>
              <w:right w:val="single" w:sz="4"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提供虚假材料涉及第十四条规定的备案材料其中二项的</w:t>
            </w:r>
          </w:p>
        </w:tc>
        <w:tc>
          <w:tcPr>
            <w:tcW w:w="2055" w:type="dxa"/>
            <w:vMerge/>
            <w:tcBorders>
              <w:left w:val="nil"/>
              <w:right w:val="single" w:sz="4" w:space="0" w:color="auto"/>
            </w:tcBorders>
            <w:vAlign w:val="center"/>
          </w:tcPr>
          <w:p/>
        </w:tc>
        <w:tc>
          <w:tcPr>
            <w:tcW w:w="4224" w:type="dxa"/>
            <w:tcBorders>
              <w:top w:val="single" w:sz="8" w:space="0" w:color="auto"/>
              <w:left w:val="single" w:sz="4" w:space="0" w:color="auto"/>
              <w:bottom w:val="single" w:sz="4"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处二百元以上三百元以下罚款</w:t>
            </w:r>
          </w:p>
        </w:tc>
      </w:tr>
      <w:tr>
        <w:trPr>
          <w:trHeight w:val="270"/>
        </w:trPr>
        <w:tc>
          <w:tcPr>
            <w:tcW w:w="1721" w:type="dxa"/>
            <w:vMerge/>
            <w:tcBorders>
              <w:top w:val="single" w:sz="4" w:space="0" w:color="auto"/>
              <w:left w:val="single" w:sz="4" w:space="0" w:color="auto"/>
              <w:bottom w:val="single" w:sz="4" w:space="0" w:color="auto"/>
              <w:right w:val="single" w:sz="4" w:space="0" w:color="auto"/>
            </w:tcBorders>
            <w:vAlign w:val="center"/>
          </w:tcPr>
          <w:p/>
        </w:tc>
        <w:tc>
          <w:tcPr>
            <w:tcW w:w="1551" w:type="dxa"/>
            <w:vMerge/>
            <w:tcBorders>
              <w:top w:val="single" w:sz="4" w:space="0" w:color="auto"/>
              <w:left w:val="nil"/>
              <w:bottom w:val="single" w:sz="4" w:space="0" w:color="auto"/>
              <w:right w:val="single" w:sz="4" w:space="0" w:color="auto"/>
            </w:tcBorders>
            <w:vAlign w:val="center"/>
          </w:tcPr>
          <w:p/>
        </w:tc>
        <w:tc>
          <w:tcPr>
            <w:tcW w:w="840" w:type="dxa"/>
            <w:vMerge/>
            <w:tcBorders>
              <w:top w:val="single" w:sz="4" w:space="0" w:color="auto"/>
              <w:left w:val="single" w:sz="4" w:space="0" w:color="auto"/>
              <w:bottom w:val="single" w:sz="4" w:space="0" w:color="auto"/>
              <w:right w:val="single" w:sz="4" w:space="0" w:color="auto"/>
            </w:tcBorders>
            <w:vAlign w:val="center"/>
          </w:tcPr>
          <w:p/>
        </w:tc>
        <w:tc>
          <w:tcPr>
            <w:tcW w:w="3631" w:type="dxa"/>
            <w:tcBorders>
              <w:top w:val="single" w:sz="4" w:space="0" w:color="auto"/>
              <w:left w:val="single" w:sz="4" w:space="0" w:color="auto"/>
              <w:bottom w:val="single" w:sz="4" w:space="0" w:color="auto"/>
              <w:right w:val="single" w:sz="4"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提供虚假材料涉及第十四条规定的备案材料其中三项的</w:t>
            </w:r>
          </w:p>
        </w:tc>
        <w:tc>
          <w:tcPr>
            <w:tcW w:w="2055" w:type="dxa"/>
            <w:vMerge/>
            <w:tcBorders>
              <w:left w:val="nil"/>
              <w:right w:val="single" w:sz="4" w:space="0" w:color="auto"/>
            </w:tcBorders>
            <w:vAlign w:val="center"/>
          </w:tcPr>
          <w:p/>
        </w:tc>
        <w:tc>
          <w:tcPr>
            <w:tcW w:w="4224" w:type="dxa"/>
            <w:tcBorders>
              <w:top w:val="single" w:sz="4" w:space="0" w:color="auto"/>
              <w:left w:val="single" w:sz="4" w:space="0" w:color="auto"/>
              <w:bottom w:val="single" w:sz="4" w:space="0" w:color="auto"/>
              <w:right w:val="single" w:sz="8" w:space="0" w:color="000000"/>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处三百元以上五百元以下罚款</w:t>
            </w:r>
          </w:p>
        </w:tc>
      </w:tr>
      <w:tr>
        <w:trPr>
          <w:trHeight w:val="233"/>
        </w:trPr>
        <w:tc>
          <w:tcPr>
            <w:tcW w:w="1721" w:type="dxa"/>
            <w:vMerge/>
            <w:tcBorders>
              <w:top w:val="single" w:sz="4" w:space="0" w:color="auto"/>
              <w:left w:val="single" w:sz="4" w:space="0" w:color="auto"/>
              <w:bottom w:val="single" w:sz="4" w:space="0" w:color="auto"/>
              <w:right w:val="single" w:sz="4" w:space="0" w:color="auto"/>
            </w:tcBorders>
            <w:vAlign w:val="center"/>
          </w:tcPr>
          <w:p/>
        </w:tc>
        <w:tc>
          <w:tcPr>
            <w:tcW w:w="1551" w:type="dxa"/>
            <w:vMerge/>
            <w:tcBorders>
              <w:top w:val="single" w:sz="4" w:space="0" w:color="auto"/>
              <w:left w:val="nil"/>
              <w:bottom w:val="single" w:sz="4" w:space="0" w:color="auto"/>
              <w:right w:val="single" w:sz="4" w:space="0" w:color="auto"/>
            </w:tcBorders>
            <w:vAlign w:val="center"/>
          </w:tcPr>
          <w:p/>
        </w:tc>
        <w:tc>
          <w:tcPr>
            <w:tcW w:w="840" w:type="dxa"/>
            <w:vMerge w:val="restart"/>
            <w:tcBorders>
              <w:top w:val="single" w:sz="4" w:space="0" w:color="auto"/>
              <w:left w:val="single" w:sz="4" w:space="0" w:color="auto"/>
              <w:bottom w:val="single" w:sz="4" w:space="0" w:color="auto"/>
              <w:right w:val="single" w:sz="4" w:space="0" w:color="auto"/>
            </w:tcBorders>
            <w:vAlign w:val="center"/>
          </w:tcPr>
          <w:p>
            <w:pPr>
              <w:widowControl/>
              <w:spacing w:line="320" w:lineRule="exact"/>
              <w:rPr>
                <w:rFonts w:ascii="仿宋" w:eastAsia="仿宋" w:cs="仿宋" w:hAnsi="仿宋"/>
                <w:color w:val="000000"/>
                <w:kern w:val="0"/>
                <w:sz w:val="24"/>
              </w:rPr>
            </w:pPr>
            <w:r>
              <w:rPr>
                <w:rFonts w:ascii="仿宋" w:eastAsia="仿宋" w:cs="仿宋" w:hAnsi="仿宋" w:hint="eastAsia"/>
                <w:color w:val="000000"/>
                <w:kern w:val="0"/>
                <w:sz w:val="24"/>
              </w:rPr>
              <w:t>单位</w:t>
            </w:r>
          </w:p>
        </w:tc>
        <w:tc>
          <w:tcPr>
            <w:tcW w:w="3631" w:type="dxa"/>
            <w:tcBorders>
              <w:top w:val="single" w:sz="4" w:space="0" w:color="auto"/>
              <w:left w:val="single" w:sz="4" w:space="0" w:color="auto"/>
              <w:bottom w:val="single" w:sz="4" w:space="0" w:color="auto"/>
              <w:right w:val="single" w:sz="4"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提供虚假材料涉及第十四条规定的备案材料其中一项的</w:t>
            </w:r>
          </w:p>
        </w:tc>
        <w:tc>
          <w:tcPr>
            <w:tcW w:w="2055" w:type="dxa"/>
            <w:vMerge/>
            <w:tcBorders>
              <w:left w:val="nil"/>
              <w:right w:val="single" w:sz="4" w:space="0" w:color="auto"/>
            </w:tcBorders>
            <w:vAlign w:val="center"/>
          </w:tcPr>
          <w:p/>
        </w:tc>
        <w:tc>
          <w:tcPr>
            <w:tcW w:w="4224" w:type="dxa"/>
            <w:tcBorders>
              <w:top w:val="single" w:sz="4" w:space="0" w:color="auto"/>
              <w:left w:val="single" w:sz="4" w:space="0" w:color="auto"/>
              <w:bottom w:val="single" w:sz="4" w:space="0" w:color="auto"/>
              <w:right w:val="single" w:sz="8" w:space="0" w:color="000000"/>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处一万元以上一万五千元以下罚款</w:t>
            </w:r>
          </w:p>
        </w:tc>
      </w:tr>
      <w:tr>
        <w:trPr>
          <w:trHeight w:val="330"/>
        </w:trPr>
        <w:tc>
          <w:tcPr>
            <w:tcW w:w="1721" w:type="dxa"/>
            <w:vMerge/>
            <w:tcBorders>
              <w:top w:val="single" w:sz="4" w:space="0" w:color="auto"/>
              <w:left w:val="single" w:sz="4" w:space="0" w:color="auto"/>
              <w:bottom w:val="single" w:sz="4" w:space="0" w:color="auto"/>
              <w:right w:val="single" w:sz="4" w:space="0" w:color="auto"/>
            </w:tcBorders>
            <w:vAlign w:val="center"/>
          </w:tcPr>
          <w:p/>
        </w:tc>
        <w:tc>
          <w:tcPr>
            <w:tcW w:w="1551" w:type="dxa"/>
            <w:vMerge/>
            <w:tcBorders>
              <w:top w:val="single" w:sz="4" w:space="0" w:color="auto"/>
              <w:left w:val="nil"/>
              <w:bottom w:val="single" w:sz="4" w:space="0" w:color="auto"/>
              <w:right w:val="single" w:sz="4" w:space="0" w:color="auto"/>
            </w:tcBorders>
            <w:vAlign w:val="center"/>
          </w:tcPr>
          <w:p/>
        </w:tc>
        <w:tc>
          <w:tcPr>
            <w:tcW w:w="840" w:type="dxa"/>
            <w:vMerge/>
            <w:tcBorders>
              <w:top w:val="single" w:sz="4" w:space="0" w:color="auto"/>
              <w:left w:val="single" w:sz="4" w:space="0" w:color="auto"/>
              <w:bottom w:val="single" w:sz="4" w:space="0" w:color="auto"/>
              <w:right w:val="single" w:sz="4" w:space="0" w:color="auto"/>
            </w:tcBorders>
            <w:vAlign w:val="center"/>
          </w:tcPr>
          <w:p/>
        </w:tc>
        <w:tc>
          <w:tcPr>
            <w:tcW w:w="3631" w:type="dxa"/>
            <w:tcBorders>
              <w:top w:val="single" w:sz="4" w:space="0" w:color="auto"/>
              <w:left w:val="single" w:sz="4" w:space="0" w:color="auto"/>
              <w:bottom w:val="single" w:sz="4" w:space="0" w:color="auto"/>
              <w:right w:val="single" w:sz="4"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提供虚假材料涉及第十四条规定的备案材料其中二项的</w:t>
            </w:r>
          </w:p>
        </w:tc>
        <w:tc>
          <w:tcPr>
            <w:tcW w:w="2055" w:type="dxa"/>
            <w:vMerge/>
            <w:tcBorders>
              <w:left w:val="nil"/>
              <w:right w:val="single" w:sz="4" w:space="0" w:color="auto"/>
            </w:tcBorders>
            <w:vAlign w:val="center"/>
          </w:tcPr>
          <w:p/>
        </w:tc>
        <w:tc>
          <w:tcPr>
            <w:tcW w:w="4224" w:type="dxa"/>
            <w:tcBorders>
              <w:top w:val="single" w:sz="4" w:space="0" w:color="auto"/>
              <w:left w:val="single" w:sz="4" w:space="0" w:color="auto"/>
              <w:bottom w:val="single" w:sz="4" w:space="0" w:color="auto"/>
              <w:right w:val="single" w:sz="8" w:space="0" w:color="000000"/>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处一万五千元以上二万元以下罚款</w:t>
            </w:r>
          </w:p>
        </w:tc>
      </w:tr>
      <w:tr>
        <w:trPr>
          <w:trHeight w:val="240"/>
        </w:trPr>
        <w:tc>
          <w:tcPr>
            <w:tcW w:w="1721" w:type="dxa"/>
            <w:vMerge/>
            <w:tcBorders>
              <w:top w:val="single" w:sz="4" w:space="0" w:color="auto"/>
              <w:left w:val="single" w:sz="4" w:space="0" w:color="auto"/>
              <w:bottom w:val="single" w:sz="4" w:space="0" w:color="auto"/>
              <w:right w:val="single" w:sz="4" w:space="0" w:color="auto"/>
            </w:tcBorders>
            <w:vAlign w:val="center"/>
          </w:tcPr>
          <w:p/>
        </w:tc>
        <w:tc>
          <w:tcPr>
            <w:tcW w:w="1551" w:type="dxa"/>
            <w:vMerge/>
            <w:tcBorders>
              <w:top w:val="single" w:sz="4" w:space="0" w:color="auto"/>
              <w:left w:val="nil"/>
              <w:bottom w:val="single" w:sz="4" w:space="0" w:color="auto"/>
              <w:right w:val="single" w:sz="4" w:space="0" w:color="auto"/>
            </w:tcBorders>
            <w:vAlign w:val="center"/>
          </w:tcPr>
          <w:p/>
        </w:tc>
        <w:tc>
          <w:tcPr>
            <w:tcW w:w="840" w:type="dxa"/>
            <w:vMerge/>
            <w:tcBorders>
              <w:top w:val="single" w:sz="4" w:space="0" w:color="auto"/>
              <w:left w:val="single" w:sz="4" w:space="0" w:color="auto"/>
              <w:bottom w:val="single" w:sz="4" w:space="0" w:color="auto"/>
              <w:right w:val="single" w:sz="4" w:space="0" w:color="auto"/>
            </w:tcBorders>
            <w:vAlign w:val="center"/>
          </w:tcPr>
          <w:p/>
        </w:tc>
        <w:tc>
          <w:tcPr>
            <w:tcW w:w="3631" w:type="dxa"/>
            <w:tcBorders>
              <w:top w:val="single" w:sz="4" w:space="0" w:color="auto"/>
              <w:left w:val="single" w:sz="4" w:space="0" w:color="auto"/>
              <w:bottom w:val="single" w:sz="4" w:space="0" w:color="auto"/>
              <w:right w:val="single" w:sz="4"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提供虚假材料涉及第十四条规定的备案材料其中三项的</w:t>
            </w:r>
          </w:p>
        </w:tc>
        <w:tc>
          <w:tcPr>
            <w:tcW w:w="2055" w:type="dxa"/>
            <w:vMerge/>
            <w:tcBorders>
              <w:left w:val="nil"/>
              <w:bottom w:val="single" w:sz="4" w:space="0" w:color="auto"/>
              <w:right w:val="single" w:sz="4" w:space="0" w:color="auto"/>
            </w:tcBorders>
            <w:vAlign w:val="center"/>
          </w:tcPr>
          <w:p/>
        </w:tc>
        <w:tc>
          <w:tcPr>
            <w:tcW w:w="4224" w:type="dxa"/>
            <w:tcBorders>
              <w:top w:val="single" w:sz="4" w:space="0" w:color="auto"/>
              <w:left w:val="single" w:sz="4" w:space="0" w:color="auto"/>
              <w:bottom w:val="single" w:sz="4" w:space="0" w:color="auto"/>
              <w:right w:val="single" w:sz="8" w:space="0" w:color="000000"/>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处二万元以上三万元以下罚款</w:t>
            </w:r>
          </w:p>
        </w:tc>
      </w:tr>
    </w:tbl>
    <w:p>
      <w:pPr>
        <w:rPr>
          <w:rFonts w:ascii="Times New Roman" w:hAnsi="Times New Roman"/>
          <w:color w:val="000000"/>
        </w:rPr>
      </w:pPr>
    </w:p>
    <w:tbl>
      <w:tblPr>
        <w:jc w:val="left"/>
        <w:tblInd w:w="8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721"/>
        <w:gridCol w:w="2077"/>
        <w:gridCol w:w="3915"/>
        <w:gridCol w:w="2100"/>
        <w:gridCol w:w="4204"/>
      </w:tblGrid>
      <w:tr>
        <w:trPr>
          <w:trHeight w:val="290"/>
        </w:trPr>
        <w:tc>
          <w:tcPr>
            <w:tcW w:w="1721" w:type="dxa"/>
            <w:tcBorders>
              <w:top w:val="single" w:sz="8" w:space="0" w:color="auto"/>
              <w:left w:val="single" w:sz="8" w:space="0" w:color="auto"/>
              <w:bottom w:val="single" w:sz="8" w:space="0" w:color="auto"/>
              <w:right w:val="single" w:sz="4"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行为名称</w:t>
            </w:r>
          </w:p>
        </w:tc>
        <w:tc>
          <w:tcPr>
            <w:tcW w:w="12296" w:type="dxa"/>
            <w:gridSpan w:val="4"/>
            <w:tcBorders>
              <w:top w:val="single" w:sz="8" w:space="0" w:color="auto"/>
              <w:left w:val="nil"/>
              <w:bottom w:val="single" w:sz="8" w:space="0" w:color="auto"/>
              <w:right w:val="single" w:sz="8" w:space="0" w:color="000000"/>
            </w:tcBorders>
            <w:vAlign w:val="center"/>
          </w:tcPr>
          <w:p>
            <w:pPr>
              <w:spacing w:line="540" w:lineRule="exact"/>
              <w:rPr>
                <w:rFonts w:ascii="仿宋" w:eastAsia="仿宋" w:cs="仿宋" w:hAnsi="仿宋"/>
                <w:sz w:val="24"/>
              </w:rPr>
            </w:pPr>
            <w:r>
              <w:rPr>
                <w:rFonts w:ascii="仿宋" w:eastAsia="仿宋" w:cs="仿宋" w:hAnsi="仿宋" w:hint="eastAsia"/>
                <w:b/>
                <w:bCs/>
                <w:sz w:val="24"/>
              </w:rPr>
              <w:t>对从事转租经营的住房租赁企业未设立住房租赁资金监管账户的处罚</w:t>
            </w:r>
          </w:p>
        </w:tc>
      </w:tr>
      <w:tr>
        <w:trPr>
          <w:trHeight w:val="285"/>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法律依据</w:t>
            </w:r>
          </w:p>
        </w:tc>
        <w:tc>
          <w:tcPr>
            <w:tcW w:w="12296" w:type="dxa"/>
            <w:gridSpan w:val="4"/>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【地方政府规章】《南京市房屋租赁管理办法》（南京市人民政府令第338号）</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第四十四条 违反本办法第二十二条第一、二款规定，从事转租经营的住房租赁企业未设立住房租赁资金监管账户，或者未按照规定收集、使用监管账户资金的，由房产部门责令限期改正；逾期未改正的，由房产部门予以通报批评，可处以三万元以上十五万元以下罚款。</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第二十二条 从事转租经营的住房租赁企业应当按照国家有关规定在商业银行设立住房租赁资金监管账户。</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从事转租经营的住房租赁企业单次收取租金超过三个月的，或者单次收取押金超过一个月的，应当将收取的租金、押金纳入住房租赁资金监管账户，通过住房租赁资金监管账户向房屋权利人支付租金、向承租人退还押金。</w:t>
            </w:r>
          </w:p>
        </w:tc>
      </w:tr>
      <w:tr>
        <w:trPr>
          <w:trHeight w:val="542"/>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处罚种类</w:t>
            </w:r>
          </w:p>
        </w:tc>
        <w:tc>
          <w:tcPr>
            <w:tcW w:w="12296" w:type="dxa"/>
            <w:gridSpan w:val="4"/>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通报批评、罚款</w:t>
            </w:r>
          </w:p>
        </w:tc>
      </w:tr>
      <w:tr>
        <w:trPr>
          <w:trHeight w:val="285"/>
        </w:trPr>
        <w:tc>
          <w:tcPr>
            <w:tcW w:w="14017" w:type="dxa"/>
            <w:gridSpan w:val="5"/>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自由裁量基准</w:t>
            </w:r>
          </w:p>
        </w:tc>
      </w:tr>
      <w:tr>
        <w:trPr>
          <w:trHeight w:val="90"/>
        </w:trPr>
        <w:tc>
          <w:tcPr>
            <w:tcW w:w="1721" w:type="dxa"/>
            <w:vMerge w:val="restart"/>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情形描述</w:t>
            </w:r>
          </w:p>
        </w:tc>
        <w:tc>
          <w:tcPr>
            <w:tcW w:w="2077" w:type="dxa"/>
            <w:vMerge w:val="restart"/>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逾期未按照要求改正的</w:t>
            </w:r>
          </w:p>
        </w:tc>
        <w:tc>
          <w:tcPr>
            <w:tcW w:w="3915"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行政处罚立案前改正的</w:t>
            </w:r>
          </w:p>
        </w:tc>
        <w:tc>
          <w:tcPr>
            <w:tcW w:w="2100" w:type="dxa"/>
            <w:vMerge w:val="restart"/>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裁量幅度</w:t>
            </w:r>
          </w:p>
        </w:tc>
        <w:tc>
          <w:tcPr>
            <w:tcW w:w="4204"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通报批评，可处三万元以上五万元以下罚款</w:t>
            </w:r>
          </w:p>
        </w:tc>
      </w:tr>
      <w:tr>
        <w:trPr>
          <w:trHeight w:val="458"/>
        </w:trPr>
        <w:tc>
          <w:tcPr>
            <w:tcW w:w="1721" w:type="dxa"/>
            <w:vMerge/>
            <w:tcBorders>
              <w:top w:val="single" w:sz="8" w:space="0" w:color="auto"/>
              <w:left w:val="single" w:sz="8" w:space="0" w:color="auto"/>
              <w:bottom w:val="single" w:sz="8" w:space="0" w:color="auto"/>
              <w:right w:val="single" w:sz="8" w:space="0" w:color="auto"/>
            </w:tcBorders>
            <w:vAlign w:val="center"/>
          </w:tcPr>
          <w:p/>
        </w:tc>
        <w:tc>
          <w:tcPr>
            <w:tcW w:w="2077" w:type="dxa"/>
            <w:vMerge/>
            <w:tcBorders>
              <w:top w:val="single" w:sz="8" w:space="0" w:color="auto"/>
              <w:left w:val="single" w:sz="8" w:space="0" w:color="auto"/>
              <w:bottom w:val="single" w:sz="8" w:space="0" w:color="auto"/>
              <w:right w:val="single" w:sz="8" w:space="0" w:color="auto"/>
            </w:tcBorders>
            <w:vAlign w:val="center"/>
          </w:tcPr>
          <w:p/>
        </w:tc>
        <w:tc>
          <w:tcPr>
            <w:tcW w:w="3915"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行政处罚立案后事先告知书送达前改正的</w:t>
            </w:r>
          </w:p>
        </w:tc>
        <w:tc>
          <w:tcPr>
            <w:tcW w:w="2100" w:type="dxa"/>
            <w:vMerge/>
            <w:tcBorders>
              <w:top w:val="single" w:sz="8" w:space="0" w:color="auto"/>
              <w:left w:val="single" w:sz="8" w:space="0" w:color="auto"/>
              <w:bottom w:val="single" w:sz="8" w:space="0" w:color="auto"/>
              <w:right w:val="single" w:sz="8" w:space="0" w:color="auto"/>
            </w:tcBorders>
            <w:vAlign w:val="center"/>
          </w:tcPr>
          <w:p/>
        </w:tc>
        <w:tc>
          <w:tcPr>
            <w:tcW w:w="4204"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通报批评，可处五万元以上十万元以下罚款</w:t>
            </w:r>
          </w:p>
        </w:tc>
      </w:tr>
      <w:tr>
        <w:trPr>
          <w:trHeight w:val="405"/>
        </w:trPr>
        <w:tc>
          <w:tcPr>
            <w:tcW w:w="1721" w:type="dxa"/>
            <w:vMerge/>
            <w:tcBorders>
              <w:top w:val="single" w:sz="8" w:space="0" w:color="auto"/>
              <w:left w:val="single" w:sz="8" w:space="0" w:color="auto"/>
              <w:bottom w:val="single" w:sz="8" w:space="0" w:color="auto"/>
              <w:right w:val="single" w:sz="8" w:space="0" w:color="auto"/>
            </w:tcBorders>
            <w:vAlign w:val="center"/>
          </w:tcPr>
          <w:p/>
        </w:tc>
        <w:tc>
          <w:tcPr>
            <w:tcW w:w="2077" w:type="dxa"/>
            <w:vMerge/>
            <w:tcBorders>
              <w:top w:val="single" w:sz="8" w:space="0" w:color="auto"/>
              <w:left w:val="single" w:sz="8" w:space="0" w:color="auto"/>
              <w:bottom w:val="single" w:sz="8" w:space="0" w:color="auto"/>
              <w:right w:val="single" w:sz="8" w:space="0" w:color="auto"/>
            </w:tcBorders>
            <w:vAlign w:val="center"/>
          </w:tcPr>
          <w:p/>
        </w:tc>
        <w:tc>
          <w:tcPr>
            <w:tcW w:w="3915"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行政处罚立案后事先告知书送达前未改正的</w:t>
            </w:r>
          </w:p>
        </w:tc>
        <w:tc>
          <w:tcPr>
            <w:tcW w:w="2100" w:type="dxa"/>
            <w:vMerge/>
            <w:tcBorders>
              <w:top w:val="single" w:sz="8" w:space="0" w:color="auto"/>
              <w:left w:val="single" w:sz="8" w:space="0" w:color="auto"/>
              <w:bottom w:val="single" w:sz="8" w:space="0" w:color="auto"/>
              <w:right w:val="single" w:sz="8" w:space="0" w:color="auto"/>
            </w:tcBorders>
            <w:vAlign w:val="center"/>
          </w:tcPr>
          <w:p/>
        </w:tc>
        <w:tc>
          <w:tcPr>
            <w:tcW w:w="4204"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通报批评，可处十万元以上十五万元以下罚款</w:t>
            </w:r>
          </w:p>
        </w:tc>
      </w:tr>
    </w:tbl>
    <w:p/>
    <w:tbl>
      <w:tblPr>
        <w:jc w:val="left"/>
        <w:tblInd w:w="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0" w:type="dxa"/>
          <w:left w:w="108" w:type="dxa"/>
          <w:bottom w:w="0" w:type="dxa"/>
          <w:right w:w="108" w:type="dxa"/>
        </w:tblCellMar>
      </w:tblPr>
      <w:tblGrid>
        <w:gridCol w:w="1721"/>
        <w:gridCol w:w="2077"/>
        <w:gridCol w:w="3915"/>
        <w:gridCol w:w="2025"/>
        <w:gridCol w:w="4279"/>
      </w:tblGrid>
      <w:tr>
        <w:trPr>
          <w:trHeight w:val="285"/>
        </w:trPr>
        <w:tc>
          <w:tcPr>
            <w:tcW w:w="1721" w:type="dxa"/>
            <w:tcBorders>
              <w:tl2br w:val="nil"/>
              <w:tr2bl w:val="nil"/>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行为名称</w:t>
            </w:r>
          </w:p>
        </w:tc>
        <w:tc>
          <w:tcPr>
            <w:tcW w:w="12296" w:type="dxa"/>
            <w:gridSpan w:val="4"/>
            <w:tcBorders>
              <w:tl2br w:val="nil"/>
              <w:tr2bl w:val="nil"/>
            </w:tcBorders>
            <w:vAlign w:val="center"/>
          </w:tcPr>
          <w:p>
            <w:pPr>
              <w:spacing w:line="540" w:lineRule="exact"/>
              <w:rPr>
                <w:rFonts w:ascii="仿宋" w:eastAsia="仿宋" w:cs="仿宋" w:hAnsi="仿宋"/>
                <w:sz w:val="24"/>
              </w:rPr>
            </w:pPr>
            <w:r>
              <w:rPr>
                <w:rFonts w:ascii="仿宋" w:eastAsia="仿宋" w:cs="仿宋" w:hAnsi="仿宋" w:hint="eastAsia"/>
                <w:b/>
                <w:bCs/>
                <w:sz w:val="24"/>
              </w:rPr>
              <w:t>对从事转租经营的住房租赁企业未按照规定归集、使用监管账户资金的处罚</w:t>
            </w:r>
          </w:p>
        </w:tc>
      </w:tr>
      <w:tr>
        <w:trPr>
          <w:trHeight w:val="90"/>
        </w:trPr>
        <w:tc>
          <w:tcPr>
            <w:tcW w:w="1721" w:type="dxa"/>
            <w:tcBorders>
              <w:tl2br w:val="nil"/>
              <w:tr2bl w:val="nil"/>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法律依据</w:t>
            </w:r>
          </w:p>
        </w:tc>
        <w:tc>
          <w:tcPr>
            <w:tcW w:w="12296" w:type="dxa"/>
            <w:gridSpan w:val="4"/>
            <w:tcBorders>
              <w:tl2br w:val="nil"/>
              <w:tr2bl w:val="nil"/>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【地方政府规章】《南京市房屋租赁管理办法》（南京市人民政府令第338号）</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第四十四条 违反本办法第二十二条第一、二款规定，从事转租经营的住房租赁企业未设立住房租赁资金监管账户，或者未按照规定收集、使用监管账户资金的，由房产部门责令限期改正；逾期未改正的，由房产部门予以通报批评，可处以三万元以上十五万元以下罚款。</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第二十二条 从事转租经营的住房租赁企业应当按照国家有关规定在商业银行设立住房租赁资金监管账户。</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从事转租经营的住房租赁企业单次收取租金超过三个月的，或者单次收取押金超过一个月的，应当将收取的租金、押金纳入住房租赁资金监管账户，通过住房租赁资金监管账户向房屋权利人支付租金、向承租人退还押金。</w:t>
            </w:r>
          </w:p>
        </w:tc>
      </w:tr>
      <w:tr>
        <w:trPr>
          <w:trHeight w:val="272"/>
        </w:trPr>
        <w:tc>
          <w:tcPr>
            <w:tcW w:w="1721" w:type="dxa"/>
            <w:tcBorders>
              <w:tl2br w:val="nil"/>
              <w:tr2bl w:val="nil"/>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处罚种类</w:t>
            </w:r>
          </w:p>
        </w:tc>
        <w:tc>
          <w:tcPr>
            <w:tcW w:w="12296" w:type="dxa"/>
            <w:gridSpan w:val="4"/>
            <w:tcBorders>
              <w:tl2br w:val="nil"/>
              <w:tr2bl w:val="nil"/>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通报批评、罚款</w:t>
            </w:r>
          </w:p>
        </w:tc>
      </w:tr>
      <w:tr>
        <w:trPr>
          <w:trHeight w:val="285"/>
        </w:trPr>
        <w:tc>
          <w:tcPr>
            <w:tcW w:w="14017" w:type="dxa"/>
            <w:gridSpan w:val="5"/>
            <w:tcBorders>
              <w:tl2br w:val="nil"/>
              <w:tr2bl w:val="nil"/>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自由裁量基准</w:t>
            </w:r>
          </w:p>
        </w:tc>
      </w:tr>
      <w:tr>
        <w:trPr>
          <w:trHeight w:val="540"/>
        </w:trPr>
        <w:tc>
          <w:tcPr>
            <w:tcW w:w="1721" w:type="dxa"/>
            <w:vMerge w:val="restart"/>
            <w:tcBorders>
              <w:tl2br w:val="nil"/>
              <w:tr2bl w:val="nil"/>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情形描述</w:t>
            </w:r>
          </w:p>
        </w:tc>
        <w:tc>
          <w:tcPr>
            <w:tcW w:w="2077" w:type="dxa"/>
            <w:vMerge w:val="restart"/>
            <w:tcBorders>
              <w:tl2br w:val="nil"/>
              <w:tr2bl w:val="nil"/>
            </w:tcBorders>
            <w:vAlign w:val="center"/>
          </w:tcPr>
          <w:p>
            <w:pPr>
              <w:widowControl/>
              <w:spacing w:line="320" w:lineRule="exact"/>
              <w:jc w:val="center"/>
              <w:rPr>
                <w:rFonts w:ascii="仿宋" w:eastAsia="仿宋" w:cs="仿宋" w:hAnsi="仿宋"/>
                <w:color w:val="000000"/>
                <w:kern w:val="0"/>
                <w:sz w:val="24"/>
              </w:rPr>
            </w:pPr>
          </w:p>
          <w:p>
            <w:pPr>
              <w:widowControl/>
              <w:spacing w:line="320" w:lineRule="exact"/>
              <w:jc w:val="center"/>
              <w:rPr>
                <w:rFonts w:ascii="仿宋" w:eastAsia="仿宋" w:cs="仿宋" w:hAnsi="仿宋"/>
                <w:color w:val="000000"/>
                <w:kern w:val="0"/>
                <w:sz w:val="24"/>
              </w:rPr>
            </w:pPr>
          </w:p>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逾期未按照要求改正的</w:t>
            </w:r>
          </w:p>
        </w:tc>
        <w:tc>
          <w:tcPr>
            <w:tcW w:w="3915" w:type="dxa"/>
            <w:tcBorders>
              <w:tl2br w:val="nil"/>
              <w:tr2bl w:val="nil"/>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行政处罚立案前改正的</w:t>
            </w:r>
          </w:p>
        </w:tc>
        <w:tc>
          <w:tcPr>
            <w:tcW w:w="2025" w:type="dxa"/>
            <w:vMerge w:val="restart"/>
            <w:tcBorders>
              <w:tl2br w:val="nil"/>
              <w:tr2bl w:val="nil"/>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裁量幅度</w:t>
            </w:r>
          </w:p>
        </w:tc>
        <w:tc>
          <w:tcPr>
            <w:tcW w:w="4279" w:type="dxa"/>
            <w:tcBorders>
              <w:tl2br w:val="nil"/>
              <w:tr2bl w:val="nil"/>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通报批评，可处三万元以上五万元以下罚款</w:t>
            </w:r>
          </w:p>
        </w:tc>
      </w:tr>
      <w:tr>
        <w:trPr>
          <w:trHeight w:val="194"/>
        </w:trPr>
        <w:tc>
          <w:tcPr>
            <w:tcW w:w="1721" w:type="dxa"/>
            <w:vMerge/>
            <w:tcBorders>
              <w:tl2br w:val="nil"/>
              <w:tr2bl w:val="nil"/>
            </w:tcBorders>
            <w:vAlign w:val="center"/>
          </w:tcPr>
          <w:p/>
        </w:tc>
        <w:tc>
          <w:tcPr>
            <w:tcW w:w="2077" w:type="dxa"/>
            <w:vMerge/>
            <w:tcBorders>
              <w:tl2br w:val="nil"/>
              <w:tr2bl w:val="nil"/>
            </w:tcBorders>
            <w:vAlign w:val="center"/>
          </w:tcPr>
          <w:p/>
        </w:tc>
        <w:tc>
          <w:tcPr>
            <w:tcW w:w="3915" w:type="dxa"/>
            <w:tcBorders>
              <w:tl2br w:val="nil"/>
              <w:tr2bl w:val="nil"/>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行政处罚立案后事先告知书送达前改正的</w:t>
            </w:r>
          </w:p>
        </w:tc>
        <w:tc>
          <w:tcPr>
            <w:tcW w:w="2025" w:type="dxa"/>
            <w:vMerge/>
            <w:tcBorders>
              <w:tl2br w:val="nil"/>
              <w:tr2bl w:val="nil"/>
            </w:tcBorders>
            <w:vAlign w:val="center"/>
          </w:tcPr>
          <w:p/>
        </w:tc>
        <w:tc>
          <w:tcPr>
            <w:tcW w:w="4279" w:type="dxa"/>
            <w:tcBorders>
              <w:tl2br w:val="nil"/>
              <w:tr2bl w:val="nil"/>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通报批评，可处五万元以上十万元以下罚款</w:t>
            </w:r>
          </w:p>
        </w:tc>
      </w:tr>
      <w:tr>
        <w:trPr>
          <w:trHeight w:val="104"/>
        </w:trPr>
        <w:tc>
          <w:tcPr>
            <w:tcW w:w="1721" w:type="dxa"/>
            <w:vMerge/>
            <w:tcBorders>
              <w:tl2br w:val="nil"/>
              <w:tr2bl w:val="nil"/>
            </w:tcBorders>
            <w:vAlign w:val="center"/>
          </w:tcPr>
          <w:p/>
        </w:tc>
        <w:tc>
          <w:tcPr>
            <w:tcW w:w="2077" w:type="dxa"/>
            <w:vMerge/>
            <w:tcBorders>
              <w:tl2br w:val="nil"/>
              <w:tr2bl w:val="nil"/>
            </w:tcBorders>
            <w:vAlign w:val="center"/>
          </w:tcPr>
          <w:p/>
        </w:tc>
        <w:tc>
          <w:tcPr>
            <w:tcW w:w="3915" w:type="dxa"/>
            <w:tcBorders>
              <w:tl2br w:val="nil"/>
              <w:tr2bl w:val="nil"/>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行政处罚立案后事先告知书送达前未改正的</w:t>
            </w:r>
          </w:p>
        </w:tc>
        <w:tc>
          <w:tcPr>
            <w:tcW w:w="2025" w:type="dxa"/>
            <w:vMerge/>
            <w:tcBorders>
              <w:tl2br w:val="nil"/>
              <w:tr2bl w:val="nil"/>
            </w:tcBorders>
            <w:vAlign w:val="center"/>
          </w:tcPr>
          <w:p/>
        </w:tc>
        <w:tc>
          <w:tcPr>
            <w:tcW w:w="4279" w:type="dxa"/>
            <w:tcBorders>
              <w:tl2br w:val="nil"/>
              <w:tr2bl w:val="nil"/>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通报批评，可处十万元以上十五万元以下罚款</w:t>
            </w:r>
          </w:p>
        </w:tc>
      </w:tr>
    </w:tbl>
    <w:p>
      <w:pPr>
        <w:pStyle w:val="60"/>
        <w:rPr>
          <w:rFonts w:ascii="方正小标宋_GBK" w:eastAsia="方正小标宋_GBK"/>
          <w:snapToGrid w:val="0"/>
          <w:sz w:val="32"/>
          <w:szCs w:val="32"/>
        </w:rPr>
      </w:pPr>
    </w:p>
    <w:p>
      <w:pPr>
        <w:widowControl/>
        <w:jc w:val="center"/>
      </w:pPr>
      <w:r>
        <w:rPr>
          <w:rFonts w:ascii="方正小标宋_GBK" w:eastAsia="方正小标宋_GBK" w:hint="eastAsia"/>
          <w:snapToGrid w:val="0"/>
          <w:color w:val="000000"/>
          <w:kern w:val="0"/>
          <w:sz w:val="32"/>
          <w:szCs w:val="32"/>
        </w:rPr>
        <w:t>三、近现代建筑保护类</w:t>
      </w:r>
    </w:p>
    <w:tbl>
      <w:tblPr>
        <w:jc w:val="left"/>
        <w:tblInd w:w="8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721"/>
        <w:gridCol w:w="2032"/>
        <w:gridCol w:w="3975"/>
        <w:gridCol w:w="2055"/>
        <w:gridCol w:w="4234"/>
      </w:tblGrid>
      <w:tr>
        <w:trPr>
          <w:trHeight w:val="285"/>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行为名称</w:t>
            </w:r>
          </w:p>
        </w:tc>
        <w:tc>
          <w:tcPr>
            <w:tcW w:w="12296" w:type="dxa"/>
            <w:gridSpan w:val="4"/>
            <w:tcBorders>
              <w:top w:val="single" w:sz="8" w:space="0" w:color="auto"/>
              <w:left w:val="single" w:sz="8" w:space="0" w:color="auto"/>
              <w:bottom w:val="single" w:sz="8" w:space="0" w:color="auto"/>
              <w:right w:val="single" w:sz="8" w:space="0" w:color="auto"/>
            </w:tcBorders>
            <w:vAlign w:val="center"/>
          </w:tcPr>
          <w:p>
            <w:pPr>
              <w:spacing w:line="540" w:lineRule="exact"/>
              <w:rPr>
                <w:rFonts w:ascii="仿宋" w:eastAsia="仿宋" w:cs="仿宋" w:hAnsi="仿宋"/>
                <w:sz w:val="24"/>
              </w:rPr>
            </w:pPr>
            <w:r>
              <w:rPr>
                <w:rFonts w:ascii="仿宋" w:eastAsia="仿宋" w:cs="仿宋" w:hAnsi="仿宋" w:hint="eastAsia"/>
                <w:b/>
                <w:bCs/>
                <w:sz w:val="24"/>
              </w:rPr>
              <w:t>对擅自修缮重要建筑或者未按照批准的修缮方案修缮的处罚</w:t>
            </w:r>
          </w:p>
        </w:tc>
      </w:tr>
      <w:tr>
        <w:trPr>
          <w:trHeight w:val="90"/>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法律依据</w:t>
            </w:r>
          </w:p>
        </w:tc>
        <w:tc>
          <w:tcPr>
            <w:tcW w:w="12296" w:type="dxa"/>
            <w:gridSpan w:val="4"/>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【地方性法规】《南京市重要近现代建筑和近现代建筑风貌区保护条例》</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第四十条 违反本条例规定，擅自修缮重要建筑或者未按照批准的修缮方案修缮的，由市房产行政主管部门责令其改正，并可处以二百元以上二千元以下罚款；造成严重后果的，处以五千元以上五万元以下罚款。</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第二十八条 重要建筑的所有人、使用人和管理人修缮房屋的，应当在施工前将修缮方案报市房产行政主管部门审查批准，市房产行政主管部门应当自接到方案之日起七日内作出决定。对符合修缮规定的，予以批准；不予批准的，书面说明理由。逾期未书面答复的，视为批准。</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重要建筑的所有人、使用人和管理人应当按照批准的修缮方案进行施工，不得擅自变更。</w:t>
            </w:r>
          </w:p>
        </w:tc>
      </w:tr>
      <w:tr>
        <w:trPr>
          <w:trHeight w:val="212"/>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处罚种类</w:t>
            </w:r>
          </w:p>
        </w:tc>
        <w:tc>
          <w:tcPr>
            <w:tcW w:w="12296" w:type="dxa"/>
            <w:gridSpan w:val="4"/>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罚款</w:t>
            </w:r>
          </w:p>
        </w:tc>
      </w:tr>
      <w:tr>
        <w:trPr>
          <w:trHeight w:val="285"/>
        </w:trPr>
        <w:tc>
          <w:tcPr>
            <w:tcW w:w="14017" w:type="dxa"/>
            <w:gridSpan w:val="5"/>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自由裁量基准</w:t>
            </w:r>
          </w:p>
        </w:tc>
      </w:tr>
      <w:tr>
        <w:trPr>
          <w:trHeight w:val="650"/>
        </w:trPr>
        <w:tc>
          <w:tcPr>
            <w:tcW w:w="1721" w:type="dxa"/>
            <w:vMerge w:val="restart"/>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情形描述</w:t>
            </w:r>
          </w:p>
        </w:tc>
        <w:tc>
          <w:tcPr>
            <w:tcW w:w="6007" w:type="dxa"/>
            <w:gridSpan w:val="2"/>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修缮部位不涉及《保护规划图则》中的保护要点，未造成严重后果的</w:t>
            </w:r>
          </w:p>
        </w:tc>
        <w:tc>
          <w:tcPr>
            <w:tcW w:w="2055" w:type="dxa"/>
            <w:vMerge w:val="restart"/>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裁量基准</w:t>
            </w:r>
          </w:p>
        </w:tc>
        <w:tc>
          <w:tcPr>
            <w:tcW w:w="4234"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可处二百元以上二千元以下罚款</w:t>
            </w:r>
          </w:p>
        </w:tc>
      </w:tr>
      <w:tr>
        <w:trPr>
          <w:trHeight w:val="583"/>
        </w:trPr>
        <w:tc>
          <w:tcPr>
            <w:tcW w:w="1721" w:type="dxa"/>
            <w:vMerge/>
            <w:tcBorders>
              <w:top w:val="single" w:sz="8" w:space="0" w:color="auto"/>
              <w:left w:val="single" w:sz="8" w:space="0" w:color="auto"/>
              <w:bottom w:val="single" w:sz="8" w:space="0" w:color="auto"/>
              <w:right w:val="single" w:sz="8" w:space="0" w:color="auto"/>
            </w:tcBorders>
            <w:vAlign w:val="center"/>
          </w:tcPr>
          <w:p/>
        </w:tc>
        <w:tc>
          <w:tcPr>
            <w:tcW w:w="2032" w:type="dxa"/>
            <w:vMerge w:val="restart"/>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造成严重后果的</w:t>
            </w:r>
          </w:p>
        </w:tc>
        <w:tc>
          <w:tcPr>
            <w:tcW w:w="3975"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修缮部位涉及《保护规划图则》中的保护要点，行政处罚立案前已按照要求改正的</w:t>
            </w:r>
          </w:p>
        </w:tc>
        <w:tc>
          <w:tcPr>
            <w:tcW w:w="2055" w:type="dxa"/>
            <w:vMerge/>
            <w:tcBorders>
              <w:top w:val="single" w:sz="8" w:space="0" w:color="auto"/>
              <w:left w:val="single" w:sz="8" w:space="0" w:color="auto"/>
              <w:bottom w:val="single" w:sz="8" w:space="0" w:color="auto"/>
              <w:right w:val="single" w:sz="8" w:space="0" w:color="auto"/>
            </w:tcBorders>
            <w:vAlign w:val="center"/>
          </w:tcPr>
          <w:p/>
        </w:tc>
        <w:tc>
          <w:tcPr>
            <w:tcW w:w="4234" w:type="dxa"/>
            <w:tcBorders>
              <w:top w:val="single" w:sz="8" w:space="0" w:color="auto"/>
              <w:left w:val="single" w:sz="8" w:space="0" w:color="auto"/>
              <w:bottom w:val="single" w:sz="8" w:space="0" w:color="auto"/>
              <w:right w:val="single" w:sz="8" w:space="0" w:color="auto"/>
            </w:tcBorders>
            <w:vAlign w:val="center"/>
          </w:tcPr>
          <w:p>
            <w:pPr>
              <w:widowControl/>
              <w:spacing w:line="320" w:lineRule="exact"/>
              <w:rPr>
                <w:rFonts w:ascii="仿宋" w:eastAsia="仿宋" w:cs="仿宋" w:hAnsi="仿宋"/>
                <w:color w:val="000000"/>
                <w:kern w:val="0"/>
                <w:sz w:val="24"/>
              </w:rPr>
            </w:pPr>
            <w:r>
              <w:rPr>
                <w:rFonts w:ascii="仿宋" w:eastAsia="仿宋" w:cs="仿宋" w:hAnsi="仿宋" w:hint="eastAsia"/>
                <w:color w:val="000000"/>
                <w:kern w:val="0"/>
                <w:sz w:val="24"/>
              </w:rPr>
              <w:t>处五千元以上二万元以下罚款</w:t>
            </w:r>
          </w:p>
        </w:tc>
      </w:tr>
      <w:tr>
        <w:trPr>
          <w:trHeight w:val="555"/>
        </w:trPr>
        <w:tc>
          <w:tcPr>
            <w:tcW w:w="1721" w:type="dxa"/>
            <w:vMerge/>
            <w:tcBorders>
              <w:top w:val="single" w:sz="8" w:space="0" w:color="auto"/>
              <w:left w:val="single" w:sz="8" w:space="0" w:color="auto"/>
              <w:bottom w:val="single" w:sz="8" w:space="0" w:color="auto"/>
              <w:right w:val="single" w:sz="8" w:space="0" w:color="auto"/>
            </w:tcBorders>
            <w:vAlign w:val="center"/>
          </w:tcPr>
          <w:p/>
        </w:tc>
        <w:tc>
          <w:tcPr>
            <w:tcW w:w="2032" w:type="dxa"/>
            <w:vMerge/>
            <w:tcBorders>
              <w:top w:val="single" w:sz="8" w:space="0" w:color="auto"/>
              <w:left w:val="single" w:sz="8" w:space="0" w:color="auto"/>
              <w:bottom w:val="single" w:sz="8" w:space="0" w:color="auto"/>
              <w:right w:val="single" w:sz="8" w:space="0" w:color="auto"/>
            </w:tcBorders>
            <w:vAlign w:val="center"/>
          </w:tcPr>
          <w:p/>
        </w:tc>
        <w:tc>
          <w:tcPr>
            <w:tcW w:w="3975"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修缮部位涉及《保护规划图则》中的保护要点，行政处罚立案前未按照要求改正的</w:t>
            </w:r>
          </w:p>
        </w:tc>
        <w:tc>
          <w:tcPr>
            <w:tcW w:w="2055" w:type="dxa"/>
            <w:vMerge/>
            <w:tcBorders>
              <w:top w:val="single" w:sz="8" w:space="0" w:color="auto"/>
              <w:left w:val="single" w:sz="8" w:space="0" w:color="auto"/>
              <w:bottom w:val="single" w:sz="8" w:space="0" w:color="auto"/>
              <w:right w:val="single" w:sz="8" w:space="0" w:color="auto"/>
            </w:tcBorders>
            <w:vAlign w:val="center"/>
          </w:tcPr>
          <w:p/>
        </w:tc>
        <w:tc>
          <w:tcPr>
            <w:tcW w:w="4234" w:type="dxa"/>
            <w:tcBorders>
              <w:top w:val="single" w:sz="8" w:space="0" w:color="auto"/>
              <w:left w:val="single" w:sz="8" w:space="0" w:color="auto"/>
              <w:bottom w:val="single" w:sz="8" w:space="0" w:color="auto"/>
              <w:right w:val="single" w:sz="8" w:space="0" w:color="auto"/>
            </w:tcBorders>
            <w:vAlign w:val="center"/>
          </w:tcPr>
          <w:p>
            <w:pPr>
              <w:spacing w:line="320" w:lineRule="exact"/>
              <w:rPr>
                <w:rFonts w:ascii="仿宋" w:eastAsia="仿宋" w:cs="仿宋" w:hAnsi="仿宋"/>
                <w:color w:val="000000"/>
                <w:kern w:val="0"/>
                <w:sz w:val="24"/>
              </w:rPr>
            </w:pPr>
            <w:r>
              <w:rPr>
                <w:rFonts w:ascii="仿宋" w:eastAsia="仿宋" w:cs="仿宋" w:hAnsi="仿宋" w:hint="eastAsia"/>
                <w:color w:val="000000"/>
                <w:kern w:val="0"/>
                <w:sz w:val="24"/>
              </w:rPr>
              <w:t>处二万元以上五万元以下罚款</w:t>
            </w:r>
          </w:p>
        </w:tc>
      </w:tr>
    </w:tbl>
    <w:p/>
    <w:tbl>
      <w:tblPr>
        <w:jc w:val="left"/>
        <w:tblInd w:w="8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721"/>
        <w:gridCol w:w="5977"/>
        <w:gridCol w:w="2100"/>
        <w:gridCol w:w="4219"/>
      </w:tblGrid>
      <w:tr>
        <w:trPr>
          <w:trHeight w:val="285"/>
        </w:trPr>
        <w:tc>
          <w:tcPr>
            <w:tcW w:w="1721" w:type="dxa"/>
            <w:tcBorders>
              <w:top w:val="single" w:sz="8" w:space="0" w:color="auto"/>
              <w:left w:val="single" w:sz="8" w:space="0" w:color="auto"/>
              <w:bottom w:val="single" w:sz="8" w:space="0" w:color="auto"/>
              <w:right w:val="single" w:sz="4"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行为名称</w:t>
            </w:r>
          </w:p>
        </w:tc>
        <w:tc>
          <w:tcPr>
            <w:tcW w:w="12296" w:type="dxa"/>
            <w:gridSpan w:val="3"/>
            <w:tcBorders>
              <w:top w:val="single" w:sz="8" w:space="0" w:color="auto"/>
              <w:left w:val="nil"/>
              <w:bottom w:val="single" w:sz="8" w:space="0" w:color="auto"/>
              <w:right w:val="single" w:sz="8" w:space="0" w:color="000000"/>
            </w:tcBorders>
            <w:vAlign w:val="center"/>
          </w:tcPr>
          <w:p>
            <w:pPr>
              <w:spacing w:line="540" w:lineRule="exact"/>
              <w:rPr>
                <w:rFonts w:ascii="仿宋" w:eastAsia="仿宋" w:cs="仿宋" w:hAnsi="仿宋"/>
                <w:sz w:val="24"/>
              </w:rPr>
            </w:pPr>
            <w:r>
              <w:rPr>
                <w:rFonts w:ascii="仿宋" w:eastAsia="仿宋" w:cs="仿宋" w:hAnsi="仿宋" w:hint="eastAsia"/>
                <w:b/>
                <w:bCs/>
                <w:sz w:val="24"/>
              </w:rPr>
              <w:t>对擅自设置、移动、涂改或者损毁标志牌的处罚</w:t>
            </w:r>
          </w:p>
        </w:tc>
      </w:tr>
      <w:tr>
        <w:trPr>
          <w:trHeight w:val="90"/>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法律依据</w:t>
            </w:r>
          </w:p>
        </w:tc>
        <w:tc>
          <w:tcPr>
            <w:tcW w:w="12296" w:type="dxa"/>
            <w:gridSpan w:val="3"/>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【地方性法规】《南京市重要近现代建筑和近现代建筑风貌区保护条例》</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第三十八条 违反本条例规定，擅自设置、移动、涂改或者损毁标志牌的，由市房产行政主管部门处以二百元以上二千元以下罚款。</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第二十五条 重要建筑和风貌区（含被依法确定为文物保护单位的重要建筑和被依法确定为历史文化街区的风貌区），由市房产行政主管部门设置统一的标志牌。标志牌中应当标明重要建筑或者风貌区的名称、文化艺术价值、历史背景等内容。</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任何单位和个人不得擅自设置、移动、涂改或者损毁标志牌。</w:t>
            </w:r>
          </w:p>
        </w:tc>
      </w:tr>
      <w:tr>
        <w:trPr>
          <w:trHeight w:val="362"/>
        </w:trPr>
        <w:tc>
          <w:tcPr>
            <w:tcW w:w="1721" w:type="dxa"/>
            <w:tcBorders>
              <w:top w:val="single" w:sz="8" w:space="0" w:color="auto"/>
              <w:left w:val="single" w:sz="8" w:space="0" w:color="auto"/>
              <w:bottom w:val="single" w:sz="4" w:space="0" w:color="auto"/>
              <w:right w:val="single" w:sz="4"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处罚种类</w:t>
            </w:r>
          </w:p>
        </w:tc>
        <w:tc>
          <w:tcPr>
            <w:tcW w:w="12296" w:type="dxa"/>
            <w:gridSpan w:val="3"/>
            <w:tcBorders>
              <w:top w:val="single" w:sz="8" w:space="0" w:color="auto"/>
              <w:left w:val="nil"/>
              <w:bottom w:val="single" w:sz="4" w:space="0" w:color="auto"/>
              <w:right w:val="single" w:sz="8" w:space="0" w:color="000000"/>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罚款</w:t>
            </w:r>
          </w:p>
        </w:tc>
      </w:tr>
      <w:tr>
        <w:trPr>
          <w:trHeight w:val="285"/>
        </w:trPr>
        <w:tc>
          <w:tcPr>
            <w:tcW w:w="14017" w:type="dxa"/>
            <w:gridSpan w:val="4"/>
            <w:tcBorders>
              <w:top w:val="nil"/>
              <w:left w:val="single" w:sz="8" w:space="0" w:color="auto"/>
              <w:bottom w:val="single" w:sz="4" w:space="0" w:color="auto"/>
              <w:right w:val="single" w:sz="8" w:space="0" w:color="000000"/>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自由裁量基准</w:t>
            </w:r>
          </w:p>
        </w:tc>
      </w:tr>
      <w:tr>
        <w:trPr>
          <w:trHeight w:val="90"/>
        </w:trPr>
        <w:tc>
          <w:tcPr>
            <w:tcW w:w="1721" w:type="dxa"/>
            <w:vMerge w:val="restart"/>
            <w:tcBorders>
              <w:top w:val="single" w:sz="4" w:space="0" w:color="auto"/>
              <w:left w:val="single" w:sz="4" w:space="0" w:color="auto"/>
              <w:bottom w:val="single" w:sz="4" w:space="0" w:color="auto"/>
              <w:right w:val="single" w:sz="4" w:space="0" w:color="auto"/>
            </w:tcBorders>
            <w:vAlign w:val="bottom"/>
          </w:tcPr>
          <w:p>
            <w:pPr>
              <w:widowControl/>
              <w:spacing w:line="320" w:lineRule="exact"/>
              <w:rPr>
                <w:rFonts w:ascii="仿宋" w:eastAsia="仿宋" w:cs="仿宋" w:hAnsi="仿宋"/>
                <w:color w:val="000000"/>
                <w:kern w:val="0"/>
                <w:sz w:val="24"/>
              </w:rPr>
            </w:pPr>
          </w:p>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情形描述</w:t>
            </w:r>
          </w:p>
          <w:p>
            <w:pPr>
              <w:widowControl/>
              <w:spacing w:line="320" w:lineRule="exact"/>
              <w:jc w:val="center"/>
              <w:rPr>
                <w:rFonts w:ascii="仿宋" w:eastAsia="仿宋" w:cs="仿宋" w:hAnsi="仿宋"/>
                <w:color w:val="000000"/>
                <w:kern w:val="0"/>
                <w:sz w:val="24"/>
              </w:rPr>
            </w:pPr>
          </w:p>
        </w:tc>
        <w:tc>
          <w:tcPr>
            <w:tcW w:w="5977" w:type="dxa"/>
            <w:tcBorders>
              <w:top w:val="single" w:sz="4" w:space="0" w:color="auto"/>
              <w:left w:val="single" w:sz="4" w:space="0" w:color="auto"/>
              <w:bottom w:val="single" w:sz="4" w:space="0" w:color="auto"/>
              <w:right w:val="single" w:sz="4"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擅自设置、移动标志牌的</w:t>
            </w:r>
          </w:p>
        </w:tc>
        <w:tc>
          <w:tcPr>
            <w:tcW w:w="2100" w:type="dxa"/>
            <w:vMerge w:val="restart"/>
            <w:tcBorders>
              <w:top w:val="single" w:sz="4" w:space="0" w:color="auto"/>
              <w:left w:val="single" w:sz="4" w:space="0" w:color="auto"/>
              <w:bottom w:val="single" w:sz="4" w:space="0" w:color="auto"/>
              <w:right w:val="single" w:sz="4"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裁量基准</w:t>
            </w:r>
          </w:p>
        </w:tc>
        <w:tc>
          <w:tcPr>
            <w:tcW w:w="4219" w:type="dxa"/>
            <w:tcBorders>
              <w:top w:val="single" w:sz="4" w:space="0" w:color="auto"/>
              <w:left w:val="single" w:sz="4" w:space="0" w:color="auto"/>
              <w:bottom w:val="single" w:sz="4" w:space="0" w:color="auto"/>
              <w:right w:val="single" w:sz="4"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处二百元以上五百元以下罚款</w:t>
            </w:r>
          </w:p>
        </w:tc>
      </w:tr>
      <w:tr>
        <w:trPr>
          <w:trHeight w:val="430"/>
        </w:trPr>
        <w:tc>
          <w:tcPr>
            <w:tcW w:w="1721" w:type="dxa"/>
            <w:vMerge/>
            <w:tcBorders>
              <w:top w:val="single" w:sz="4" w:space="0" w:color="auto"/>
              <w:left w:val="single" w:sz="4" w:space="0" w:color="auto"/>
              <w:bottom w:val="single" w:sz="4" w:space="0" w:color="auto"/>
              <w:right w:val="single" w:sz="4" w:space="0" w:color="auto"/>
            </w:tcBorders>
            <w:vAlign w:val="center"/>
          </w:tcPr>
          <w:p/>
        </w:tc>
        <w:tc>
          <w:tcPr>
            <w:tcW w:w="5977" w:type="dxa"/>
            <w:tcBorders>
              <w:top w:val="single" w:sz="4" w:space="0" w:color="auto"/>
              <w:left w:val="single" w:sz="4" w:space="0" w:color="auto"/>
              <w:bottom w:val="single" w:sz="4" w:space="0" w:color="auto"/>
              <w:right w:val="single" w:sz="4"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擅自涂改标志牌的</w:t>
            </w:r>
          </w:p>
        </w:tc>
        <w:tc>
          <w:tcPr>
            <w:tcW w:w="2100" w:type="dxa"/>
            <w:vMerge/>
            <w:tcBorders>
              <w:top w:val="single" w:sz="4" w:space="0" w:color="auto"/>
              <w:left w:val="single" w:sz="4" w:space="0" w:color="auto"/>
              <w:bottom w:val="single" w:sz="4" w:space="0" w:color="auto"/>
              <w:right w:val="single" w:sz="4" w:space="0" w:color="auto"/>
            </w:tcBorders>
            <w:vAlign w:val="center"/>
          </w:tcPr>
          <w:p/>
        </w:tc>
        <w:tc>
          <w:tcPr>
            <w:tcW w:w="4219" w:type="dxa"/>
            <w:tcBorders>
              <w:top w:val="single" w:sz="4" w:space="0" w:color="auto"/>
              <w:left w:val="single" w:sz="4" w:space="0" w:color="auto"/>
              <w:bottom w:val="single" w:sz="4" w:space="0" w:color="auto"/>
              <w:right w:val="single" w:sz="4"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处五百元以上一千元以下罚款</w:t>
            </w:r>
          </w:p>
        </w:tc>
      </w:tr>
      <w:tr>
        <w:trPr>
          <w:trHeight w:val="313"/>
        </w:trPr>
        <w:tc>
          <w:tcPr>
            <w:tcW w:w="1721" w:type="dxa"/>
            <w:vMerge/>
            <w:tcBorders>
              <w:top w:val="single" w:sz="4" w:space="0" w:color="auto"/>
              <w:left w:val="single" w:sz="4" w:space="0" w:color="auto"/>
              <w:bottom w:val="single" w:sz="4" w:space="0" w:color="auto"/>
              <w:right w:val="single" w:sz="4" w:space="0" w:color="auto"/>
            </w:tcBorders>
            <w:vAlign w:val="center"/>
          </w:tcPr>
          <w:p/>
        </w:tc>
        <w:tc>
          <w:tcPr>
            <w:tcW w:w="5977" w:type="dxa"/>
            <w:tcBorders>
              <w:top w:val="single" w:sz="4" w:space="0" w:color="auto"/>
              <w:left w:val="single" w:sz="4" w:space="0" w:color="auto"/>
              <w:bottom w:val="single" w:sz="4" w:space="0" w:color="auto"/>
              <w:right w:val="single" w:sz="4" w:space="0" w:color="auto"/>
            </w:tcBorders>
            <w:vAlign w:val="center"/>
          </w:tcPr>
          <w:p>
            <w:pPr>
              <w:widowControl/>
              <w:spacing w:line="320" w:lineRule="exact"/>
              <w:rPr>
                <w:rFonts w:ascii="仿宋" w:eastAsia="仿宋" w:cs="仿宋" w:hAnsi="仿宋"/>
                <w:color w:val="000000"/>
                <w:kern w:val="0"/>
                <w:sz w:val="24"/>
              </w:rPr>
            </w:pPr>
            <w:r>
              <w:rPr>
                <w:rFonts w:ascii="仿宋" w:eastAsia="仿宋" w:cs="仿宋" w:hAnsi="仿宋" w:hint="eastAsia"/>
                <w:color w:val="000000"/>
                <w:kern w:val="0"/>
                <w:sz w:val="24"/>
              </w:rPr>
              <w:t>擅自损毁标志牌的</w:t>
            </w:r>
          </w:p>
        </w:tc>
        <w:tc>
          <w:tcPr>
            <w:tcW w:w="2100" w:type="dxa"/>
            <w:vMerge/>
            <w:tcBorders>
              <w:top w:val="single" w:sz="4" w:space="0" w:color="auto"/>
              <w:left w:val="single" w:sz="4" w:space="0" w:color="auto"/>
              <w:bottom w:val="single" w:sz="4" w:space="0" w:color="auto"/>
              <w:right w:val="single" w:sz="4" w:space="0" w:color="auto"/>
            </w:tcBorders>
            <w:vAlign w:val="center"/>
          </w:tcPr>
          <w:p/>
        </w:tc>
        <w:tc>
          <w:tcPr>
            <w:tcW w:w="4219" w:type="dxa"/>
            <w:tcBorders>
              <w:top w:val="single" w:sz="4" w:space="0" w:color="auto"/>
              <w:left w:val="single" w:sz="4" w:space="0" w:color="auto"/>
              <w:bottom w:val="single" w:sz="4" w:space="0" w:color="auto"/>
              <w:right w:val="single" w:sz="4" w:space="0" w:color="auto"/>
            </w:tcBorders>
            <w:vAlign w:val="center"/>
          </w:tcPr>
          <w:p>
            <w:pPr>
              <w:widowControl/>
              <w:spacing w:line="320" w:lineRule="exact"/>
              <w:rPr>
                <w:rFonts w:ascii="仿宋" w:eastAsia="仿宋" w:cs="仿宋" w:hAnsi="仿宋"/>
                <w:color w:val="000000"/>
                <w:kern w:val="0"/>
                <w:sz w:val="24"/>
              </w:rPr>
            </w:pPr>
            <w:r>
              <w:rPr>
                <w:rFonts w:ascii="仿宋" w:eastAsia="仿宋" w:cs="仿宋" w:hAnsi="仿宋" w:hint="eastAsia"/>
                <w:color w:val="000000"/>
                <w:kern w:val="0"/>
                <w:sz w:val="24"/>
              </w:rPr>
              <w:t>处一千元以上二千元以下罚款</w:t>
            </w:r>
          </w:p>
        </w:tc>
      </w:tr>
    </w:tbl>
    <w:p/>
    <w:tbl>
      <w:tblPr>
        <w:jc w:val="left"/>
        <w:tblInd w:w="8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721"/>
        <w:gridCol w:w="6022"/>
        <w:gridCol w:w="2085"/>
        <w:gridCol w:w="4189"/>
      </w:tblGrid>
      <w:tr>
        <w:trPr>
          <w:trHeight w:val="285"/>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行为名称</w:t>
            </w:r>
          </w:p>
        </w:tc>
        <w:tc>
          <w:tcPr>
            <w:tcW w:w="12296" w:type="dxa"/>
            <w:gridSpan w:val="3"/>
            <w:tcBorders>
              <w:top w:val="single" w:sz="8" w:space="0" w:color="auto"/>
              <w:left w:val="single" w:sz="8" w:space="0" w:color="auto"/>
              <w:bottom w:val="single" w:sz="8" w:space="0" w:color="auto"/>
              <w:right w:val="single" w:sz="8" w:space="0" w:color="auto"/>
            </w:tcBorders>
            <w:vAlign w:val="center"/>
          </w:tcPr>
          <w:p>
            <w:pPr>
              <w:spacing w:line="540" w:lineRule="exact"/>
              <w:rPr>
                <w:rFonts w:ascii="仿宋" w:eastAsia="仿宋" w:cs="仿宋" w:hAnsi="仿宋"/>
                <w:sz w:val="24"/>
              </w:rPr>
            </w:pPr>
            <w:r>
              <w:rPr>
                <w:rFonts w:ascii="仿宋" w:eastAsia="仿宋" w:cs="仿宋" w:hAnsi="仿宋" w:hint="eastAsia"/>
                <w:b/>
                <w:bCs/>
                <w:color w:val="000000"/>
                <w:kern w:val="0"/>
                <w:sz w:val="24"/>
              </w:rPr>
              <w:t>对擅自拆除或者迁移重要建筑和风貌区内建筑的处罚</w:t>
            </w:r>
          </w:p>
        </w:tc>
      </w:tr>
      <w:tr>
        <w:trPr>
          <w:trHeight w:val="1646"/>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法律依据</w:t>
            </w:r>
          </w:p>
        </w:tc>
        <w:tc>
          <w:tcPr>
            <w:tcW w:w="12296" w:type="dxa"/>
            <w:gridSpan w:val="3"/>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【地方性法规】《南京市重要近现代建筑和近现代建筑风貌区保护条例》</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第三十九条 违反本条例规定，擅自拆除或者迁移重要建筑和风貌区内建筑的，由市房产行政主管部门责令其恢复原状，并可处以该建筑重置价一至三倍的罚款。</w:t>
            </w:r>
          </w:p>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    第二十条 重要建筑和风貌区内的建筑不得擅自拆除或者迁移。因重大市政基础设施建设和保护需要，必须拆除或者迁移的，由市规划行政主管部门会同市房产、文物行政主管部门提出，并征求有关区、县人民政府和单位意见，经专家委员会评审，报市人民政府批准。</w:t>
            </w:r>
          </w:p>
        </w:tc>
      </w:tr>
      <w:tr>
        <w:trPr>
          <w:trHeight w:val="422"/>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处罚种类</w:t>
            </w:r>
          </w:p>
        </w:tc>
        <w:tc>
          <w:tcPr>
            <w:tcW w:w="12296" w:type="dxa"/>
            <w:gridSpan w:val="3"/>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罚款</w:t>
            </w:r>
          </w:p>
        </w:tc>
      </w:tr>
      <w:tr>
        <w:trPr>
          <w:trHeight w:val="373"/>
        </w:trPr>
        <w:tc>
          <w:tcPr>
            <w:tcW w:w="14017" w:type="dxa"/>
            <w:gridSpan w:val="4"/>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自由裁量基准</w:t>
            </w:r>
          </w:p>
        </w:tc>
      </w:tr>
      <w:tr>
        <w:trPr>
          <w:trHeight w:val="344"/>
        </w:trPr>
        <w:tc>
          <w:tcPr>
            <w:tcW w:w="1721" w:type="dxa"/>
            <w:vMerge w:val="restart"/>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情形描述</w:t>
            </w:r>
          </w:p>
        </w:tc>
        <w:tc>
          <w:tcPr>
            <w:tcW w:w="6022"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经专家委员会评定可恢复原状，行政处罚立案前恢复原状的</w:t>
            </w:r>
          </w:p>
        </w:tc>
        <w:tc>
          <w:tcPr>
            <w:tcW w:w="2085" w:type="dxa"/>
            <w:vMerge w:val="restart"/>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裁量幅度</w:t>
            </w:r>
          </w:p>
        </w:tc>
        <w:tc>
          <w:tcPr>
            <w:tcW w:w="4189"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可处该建筑重置价一倍以上一点五倍以下的罚款</w:t>
            </w:r>
          </w:p>
        </w:tc>
      </w:tr>
      <w:tr>
        <w:trPr>
          <w:trHeight w:val="329"/>
        </w:trPr>
        <w:tc>
          <w:tcPr>
            <w:tcW w:w="1721" w:type="dxa"/>
            <w:vMerge/>
            <w:tcBorders>
              <w:top w:val="single" w:sz="8" w:space="0" w:color="auto"/>
              <w:left w:val="single" w:sz="8" w:space="0" w:color="auto"/>
              <w:bottom w:val="single" w:sz="8" w:space="0" w:color="auto"/>
              <w:right w:val="single" w:sz="8" w:space="0" w:color="auto"/>
            </w:tcBorders>
            <w:vAlign w:val="center"/>
          </w:tcPr>
          <w:p/>
        </w:tc>
        <w:tc>
          <w:tcPr>
            <w:tcW w:w="6022"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经专家委员会评定可恢复原状，行政处罚立案前未恢复原状的</w:t>
            </w:r>
          </w:p>
        </w:tc>
        <w:tc>
          <w:tcPr>
            <w:tcW w:w="2085" w:type="dxa"/>
            <w:vMerge/>
            <w:tcBorders>
              <w:top w:val="single" w:sz="8" w:space="0" w:color="auto"/>
              <w:left w:val="single" w:sz="8" w:space="0" w:color="auto"/>
              <w:bottom w:val="single" w:sz="8" w:space="0" w:color="auto"/>
              <w:right w:val="single" w:sz="8" w:space="0" w:color="auto"/>
            </w:tcBorders>
            <w:vAlign w:val="center"/>
          </w:tcPr>
          <w:p/>
        </w:tc>
        <w:tc>
          <w:tcPr>
            <w:tcW w:w="4189"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可处该建筑重置价一点五倍以上二倍以下的罚款</w:t>
            </w:r>
          </w:p>
        </w:tc>
      </w:tr>
      <w:tr>
        <w:trPr>
          <w:trHeight w:val="555"/>
        </w:trPr>
        <w:tc>
          <w:tcPr>
            <w:tcW w:w="1721" w:type="dxa"/>
            <w:vMerge/>
            <w:tcBorders>
              <w:top w:val="single" w:sz="8" w:space="0" w:color="auto"/>
              <w:left w:val="single" w:sz="8" w:space="0" w:color="auto"/>
              <w:bottom w:val="single" w:sz="8" w:space="0" w:color="auto"/>
              <w:right w:val="single" w:sz="8" w:space="0" w:color="auto"/>
            </w:tcBorders>
            <w:vAlign w:val="center"/>
          </w:tcPr>
          <w:p/>
        </w:tc>
        <w:tc>
          <w:tcPr>
            <w:tcW w:w="6022" w:type="dxa"/>
            <w:tcBorders>
              <w:top w:val="single" w:sz="8" w:space="0" w:color="auto"/>
              <w:left w:val="single" w:sz="8" w:space="0" w:color="auto"/>
              <w:bottom w:val="single" w:sz="8" w:space="0" w:color="auto"/>
              <w:right w:val="single" w:sz="8" w:space="0" w:color="auto"/>
            </w:tcBorders>
            <w:vAlign w:val="center"/>
          </w:tcPr>
          <w:p>
            <w:pPr>
              <w:widowControl/>
              <w:spacing w:line="320" w:lineRule="exact"/>
              <w:rPr>
                <w:rFonts w:ascii="仿宋" w:eastAsia="仿宋" w:cs="仿宋" w:hAnsi="仿宋"/>
                <w:color w:val="000000"/>
                <w:kern w:val="0"/>
                <w:sz w:val="24"/>
              </w:rPr>
            </w:pPr>
            <w:r>
              <w:rPr>
                <w:rFonts w:ascii="仿宋" w:eastAsia="仿宋" w:cs="仿宋" w:hAnsi="仿宋" w:hint="eastAsia"/>
                <w:color w:val="000000"/>
                <w:kern w:val="0"/>
                <w:sz w:val="24"/>
              </w:rPr>
              <w:t>经专家委员会评定不可恢复原状的</w:t>
            </w:r>
          </w:p>
        </w:tc>
        <w:tc>
          <w:tcPr>
            <w:tcW w:w="2085" w:type="dxa"/>
            <w:vMerge/>
            <w:tcBorders>
              <w:top w:val="single" w:sz="8" w:space="0" w:color="auto"/>
              <w:left w:val="single" w:sz="8" w:space="0" w:color="auto"/>
              <w:bottom w:val="single" w:sz="8" w:space="0" w:color="auto"/>
              <w:right w:val="single" w:sz="8" w:space="0" w:color="auto"/>
            </w:tcBorders>
            <w:vAlign w:val="center"/>
          </w:tcPr>
          <w:p/>
        </w:tc>
        <w:tc>
          <w:tcPr>
            <w:tcW w:w="4189" w:type="dxa"/>
            <w:tcBorders>
              <w:top w:val="single" w:sz="8" w:space="0" w:color="auto"/>
              <w:left w:val="single" w:sz="8" w:space="0" w:color="auto"/>
              <w:bottom w:val="single" w:sz="8" w:space="0" w:color="auto"/>
              <w:right w:val="single" w:sz="8" w:space="0" w:color="auto"/>
            </w:tcBorders>
            <w:vAlign w:val="center"/>
          </w:tcPr>
          <w:p>
            <w:pPr>
              <w:widowControl/>
              <w:spacing w:line="320" w:lineRule="exact"/>
              <w:rPr>
                <w:rFonts w:ascii="仿宋" w:eastAsia="仿宋" w:cs="仿宋" w:hAnsi="仿宋"/>
                <w:color w:val="000000"/>
                <w:kern w:val="0"/>
                <w:sz w:val="24"/>
              </w:rPr>
            </w:pPr>
            <w:r>
              <w:rPr>
                <w:rFonts w:ascii="仿宋" w:eastAsia="仿宋" w:cs="仿宋" w:hAnsi="仿宋" w:hint="eastAsia"/>
                <w:color w:val="000000"/>
                <w:kern w:val="0"/>
                <w:sz w:val="24"/>
              </w:rPr>
              <w:t>可处该建筑重置价二倍以上三倍以下的罚款</w:t>
            </w:r>
          </w:p>
        </w:tc>
      </w:tr>
    </w:tbl>
    <w:p>
      <w:pPr>
        <w:pStyle w:val="60"/>
        <w:rPr>
          <w:rFonts w:ascii="方正小标宋_GBK" w:eastAsia="方正小标宋_GBK"/>
          <w:snapToGrid w:val="0"/>
          <w:sz w:val="32"/>
          <w:szCs w:val="32"/>
        </w:rPr>
      </w:pPr>
    </w:p>
    <w:p>
      <w:pPr>
        <w:widowControl/>
        <w:jc w:val="center"/>
      </w:pPr>
      <w:r>
        <w:rPr>
          <w:rFonts w:ascii="方正小标宋_GBK" w:eastAsia="方正小标宋_GBK" w:hint="eastAsia"/>
          <w:snapToGrid w:val="0"/>
          <w:color w:val="000000"/>
          <w:kern w:val="0"/>
          <w:sz w:val="32"/>
          <w:szCs w:val="32"/>
        </w:rPr>
        <w:t>四、行政强制类</w:t>
      </w:r>
    </w:p>
    <w:tbl>
      <w:tblPr>
        <w:jc w:val="left"/>
        <w:tblInd w:w="91"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721"/>
        <w:gridCol w:w="2029"/>
        <w:gridCol w:w="4005"/>
        <w:gridCol w:w="2101"/>
        <w:gridCol w:w="4166"/>
      </w:tblGrid>
      <w:tr>
        <w:trPr>
          <w:trHeight w:val="567"/>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行为名称</w:t>
            </w:r>
          </w:p>
        </w:tc>
        <w:tc>
          <w:tcPr>
            <w:tcW w:w="12301" w:type="dxa"/>
            <w:gridSpan w:val="4"/>
            <w:tcBorders>
              <w:top w:val="single" w:sz="8" w:space="0" w:color="auto"/>
              <w:left w:val="single" w:sz="8" w:space="0" w:color="auto"/>
              <w:bottom w:val="single" w:sz="8" w:space="0" w:color="auto"/>
              <w:right w:val="single" w:sz="8" w:space="0" w:color="auto"/>
            </w:tcBorders>
            <w:vAlign w:val="center"/>
          </w:tcPr>
          <w:p>
            <w:pPr>
              <w:widowControl/>
              <w:spacing w:line="320" w:lineRule="exact"/>
              <w:rPr>
                <w:rFonts w:ascii="仿宋" w:eastAsia="仿宋" w:cs="仿宋" w:hAnsi="仿宋"/>
                <w:color w:val="000000"/>
                <w:kern w:val="0"/>
                <w:sz w:val="24"/>
              </w:rPr>
            </w:pPr>
            <w:r>
              <w:rPr>
                <w:rFonts w:ascii="仿宋" w:eastAsia="仿宋" w:cs="仿宋" w:hAnsi="仿宋" w:hint="eastAsia"/>
                <w:b/>
                <w:bCs/>
                <w:color w:val="000000"/>
                <w:kern w:val="0"/>
                <w:sz w:val="24"/>
              </w:rPr>
              <w:t>对正在进行的违法拆改施工现场进行查封，对违法施工设备、工具和建筑材料进行扣押</w:t>
            </w:r>
          </w:p>
        </w:tc>
      </w:tr>
      <w:tr>
        <w:trPr>
          <w:trHeight w:val="2015"/>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法律依据</w:t>
            </w:r>
          </w:p>
        </w:tc>
        <w:tc>
          <w:tcPr>
            <w:tcW w:w="12301" w:type="dxa"/>
            <w:gridSpan w:val="4"/>
            <w:tcBorders>
              <w:top w:val="single" w:sz="8" w:space="0" w:color="auto"/>
              <w:left w:val="single" w:sz="8" w:space="0" w:color="auto"/>
              <w:bottom w:val="single" w:sz="8" w:space="0" w:color="auto"/>
              <w:right w:val="single" w:sz="8" w:space="0" w:color="auto"/>
            </w:tcBorders>
            <w:vAlign w:val="center"/>
          </w:tcPr>
          <w:p>
            <w:pPr>
              <w:widowControl/>
              <w:spacing w:line="32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【地方性法规】《南京市房屋使用安全管理条例》 </w:t>
            </w:r>
          </w:p>
          <w:p>
            <w:pPr>
              <w:widowControl/>
              <w:spacing w:line="32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 xml:space="preserve">第五十九条　房屋安全行政主管部门应当会同规划、建设、城市管理、公安、镇人民政府、街道办事处建立房屋安全联合执法机制，依法查处危害或者可能危害房屋安全的违法行为。 </w:t>
            </w:r>
          </w:p>
          <w:p>
            <w:pPr>
              <w:widowControl/>
              <w:spacing w:line="32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 xml:space="preserve">房屋安全行政主管部门对正在进行的违法拆改房屋行为，应当责令立即停止施工；必要时可以查封施工现场，扣押违法施工的设备、工具和建筑材料。 </w:t>
            </w:r>
          </w:p>
          <w:p>
            <w:pPr>
              <w:widowControl/>
              <w:spacing w:line="320" w:lineRule="exact"/>
              <w:ind w:firstLineChars="200" w:firstLine="480"/>
              <w:jc w:val="left"/>
              <w:rPr>
                <w:rFonts w:ascii="仿宋" w:eastAsia="仿宋" w:cs="仿宋" w:hAnsi="仿宋"/>
                <w:color w:val="000000"/>
                <w:kern w:val="0"/>
                <w:sz w:val="24"/>
              </w:rPr>
            </w:pPr>
            <w:r>
              <w:rPr>
                <w:rFonts w:ascii="仿宋" w:eastAsia="仿宋" w:cs="仿宋" w:hAnsi="仿宋" w:hint="eastAsia"/>
                <w:color w:val="000000"/>
                <w:kern w:val="0"/>
                <w:sz w:val="24"/>
              </w:rPr>
              <w:t>装饰装修行政主管部门应当加强对装饰装修工程和单位的管理，发现违法行为及时查处。</w:t>
            </w:r>
          </w:p>
        </w:tc>
      </w:tr>
      <w:tr>
        <w:trPr>
          <w:trHeight w:val="410"/>
        </w:trPr>
        <w:tc>
          <w:tcPr>
            <w:tcW w:w="1721" w:type="dxa"/>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强制种类</w:t>
            </w:r>
          </w:p>
        </w:tc>
        <w:tc>
          <w:tcPr>
            <w:tcW w:w="12301" w:type="dxa"/>
            <w:gridSpan w:val="4"/>
            <w:tcBorders>
              <w:top w:val="single" w:sz="8" w:space="0" w:color="auto"/>
              <w:left w:val="single" w:sz="8" w:space="0" w:color="auto"/>
              <w:bottom w:val="single" w:sz="8" w:space="0" w:color="auto"/>
              <w:right w:val="single" w:sz="8" w:space="0" w:color="auto"/>
            </w:tcBorders>
            <w:vAlign w:val="center"/>
          </w:tcPr>
          <w:p>
            <w:pPr>
              <w:widowControl/>
              <w:spacing w:line="320" w:lineRule="exact"/>
              <w:rPr>
                <w:rFonts w:ascii="仿宋" w:eastAsia="仿宋" w:cs="仿宋" w:hAnsi="仿宋"/>
                <w:color w:val="000000"/>
                <w:kern w:val="0"/>
                <w:sz w:val="24"/>
              </w:rPr>
            </w:pPr>
            <w:r>
              <w:rPr>
                <w:rFonts w:ascii="仿宋" w:eastAsia="仿宋" w:cs="仿宋" w:hAnsi="仿宋" w:hint="eastAsia"/>
                <w:color w:val="000000"/>
                <w:kern w:val="0"/>
                <w:sz w:val="24"/>
              </w:rPr>
              <w:t>查封、扣押</w:t>
            </w:r>
          </w:p>
        </w:tc>
      </w:tr>
      <w:tr>
        <w:trPr>
          <w:trHeight w:val="405"/>
        </w:trPr>
        <w:tc>
          <w:tcPr>
            <w:tcW w:w="14022" w:type="dxa"/>
            <w:gridSpan w:val="5"/>
            <w:tcBorders>
              <w:top w:val="single" w:sz="8" w:space="0" w:color="auto"/>
              <w:left w:val="single" w:sz="8" w:space="0" w:color="auto"/>
              <w:bottom w:val="single" w:sz="8" w:space="0" w:color="auto"/>
              <w:right w:val="single" w:sz="8" w:space="0" w:color="auto"/>
            </w:tcBorders>
            <w:vAlign w:val="center"/>
          </w:tcPr>
          <w:p>
            <w:pPr>
              <w:widowControl/>
              <w:spacing w:line="320" w:lineRule="exact"/>
              <w:jc w:val="center"/>
              <w:rPr>
                <w:rFonts w:ascii="仿宋" w:eastAsia="仿宋" w:cs="仿宋" w:hAnsi="仿宋"/>
                <w:color w:val="000000"/>
                <w:kern w:val="0"/>
                <w:sz w:val="24"/>
              </w:rPr>
            </w:pPr>
            <w:r>
              <w:rPr>
                <w:rFonts w:ascii="仿宋" w:eastAsia="仿宋" w:cs="仿宋" w:hAnsi="仿宋" w:hint="eastAsia"/>
                <w:color w:val="000000"/>
                <w:kern w:val="0"/>
                <w:sz w:val="24"/>
              </w:rPr>
              <w:t>自由裁量基准</w:t>
            </w:r>
          </w:p>
        </w:tc>
      </w:tr>
      <w:tr>
        <w:trPr>
          <w:trHeight w:val="283"/>
        </w:trPr>
        <w:tc>
          <w:tcPr>
            <w:tcW w:w="1721" w:type="dxa"/>
            <w:vMerge w:val="restart"/>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情形描述</w:t>
            </w:r>
          </w:p>
        </w:tc>
        <w:tc>
          <w:tcPr>
            <w:tcW w:w="2029" w:type="dxa"/>
            <w:vMerge w:val="restart"/>
            <w:tcBorders>
              <w:top w:val="single" w:sz="8" w:space="0" w:color="auto"/>
              <w:left w:val="single" w:sz="8" w:space="0" w:color="auto"/>
              <w:bottom w:val="single" w:sz="8"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正在进行的违法拆改行为</w:t>
            </w:r>
          </w:p>
        </w:tc>
        <w:tc>
          <w:tcPr>
            <w:tcW w:w="4005"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涉及装饰装修拆改房屋主要承重构件、抗震措施的，超过设计标准增大荷载的</w:t>
            </w:r>
          </w:p>
        </w:tc>
        <w:tc>
          <w:tcPr>
            <w:tcW w:w="2101" w:type="dxa"/>
            <w:vMerge w:val="restart"/>
            <w:tcBorders>
              <w:top w:val="single" w:sz="8" w:space="0" w:color="auto"/>
              <w:left w:val="single" w:sz="8" w:space="0" w:color="auto"/>
              <w:bottom w:val="single" w:sz="4" w:space="0" w:color="auto"/>
              <w:right w:val="single" w:sz="8" w:space="0" w:color="auto"/>
            </w:tcBorders>
            <w:vAlign w:val="center"/>
          </w:tcPr>
          <w:p>
            <w:pPr>
              <w:widowControl/>
              <w:spacing w:line="360" w:lineRule="exact"/>
              <w:jc w:val="center"/>
              <w:rPr>
                <w:rFonts w:ascii="仿宋" w:eastAsia="仿宋" w:cs="仿宋" w:hAnsi="仿宋"/>
                <w:color w:val="000000"/>
                <w:kern w:val="0"/>
                <w:sz w:val="24"/>
              </w:rPr>
            </w:pPr>
            <w:r>
              <w:rPr>
                <w:rFonts w:ascii="仿宋" w:eastAsia="仿宋" w:cs="仿宋" w:hAnsi="仿宋" w:hint="eastAsia"/>
                <w:color w:val="000000"/>
                <w:kern w:val="0"/>
                <w:sz w:val="24"/>
              </w:rPr>
              <w:t>裁量幅度</w:t>
            </w:r>
          </w:p>
        </w:tc>
        <w:tc>
          <w:tcPr>
            <w:tcW w:w="4166" w:type="dxa"/>
            <w:tcBorders>
              <w:top w:val="single" w:sz="8" w:space="0" w:color="auto"/>
              <w:left w:val="single" w:sz="8" w:space="0" w:color="auto"/>
              <w:bottom w:val="single" w:sz="4"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可查封施工现场，扣押违法施工的设备、工具和建筑材料</w:t>
            </w:r>
          </w:p>
        </w:tc>
      </w:tr>
      <w:tr>
        <w:trPr>
          <w:trHeight w:val="283"/>
        </w:trPr>
        <w:tc>
          <w:tcPr>
            <w:tcW w:w="1721" w:type="dxa"/>
            <w:vMerge/>
            <w:tcBorders>
              <w:top w:val="single" w:sz="8" w:space="0" w:color="auto"/>
              <w:left w:val="single" w:sz="8" w:space="0" w:color="auto"/>
              <w:bottom w:val="single" w:sz="8" w:space="0" w:color="auto"/>
              <w:right w:val="single" w:sz="8" w:space="0" w:color="auto"/>
            </w:tcBorders>
            <w:vAlign w:val="center"/>
          </w:tcPr>
          <w:p/>
        </w:tc>
        <w:tc>
          <w:tcPr>
            <w:tcW w:w="2029" w:type="dxa"/>
            <w:vMerge/>
            <w:tcBorders>
              <w:top w:val="single" w:sz="8" w:space="0" w:color="auto"/>
              <w:left w:val="single" w:sz="8" w:space="0" w:color="auto"/>
              <w:bottom w:val="single" w:sz="8" w:space="0" w:color="auto"/>
              <w:right w:val="single" w:sz="8" w:space="0" w:color="auto"/>
            </w:tcBorders>
            <w:vAlign w:val="center"/>
          </w:tcPr>
          <w:p/>
        </w:tc>
        <w:tc>
          <w:tcPr>
            <w:tcW w:w="4005"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 xml:space="preserve">涉及在楼面结构层开凿、扩大洞口，或者拆改房屋中抗震、防火措施以外的非承重墙体的，经责令改正未按要求停止施工的 </w:t>
            </w:r>
          </w:p>
        </w:tc>
        <w:tc>
          <w:tcPr>
            <w:tcW w:w="2101" w:type="dxa"/>
            <w:vMerge/>
            <w:tcBorders>
              <w:top w:val="single" w:sz="4" w:space="0" w:color="auto"/>
              <w:left w:val="single" w:sz="8" w:space="0" w:color="auto"/>
              <w:bottom w:val="single" w:sz="4" w:space="0" w:color="auto"/>
              <w:right w:val="single" w:sz="4" w:space="0" w:color="auto"/>
            </w:tcBorders>
            <w:vAlign w:val="center"/>
          </w:tcPr>
          <w:p/>
        </w:tc>
        <w:tc>
          <w:tcPr>
            <w:tcW w:w="4166"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可查封施工现场，扣押违法施工的设备、工具和建筑材料</w:t>
            </w:r>
          </w:p>
        </w:tc>
      </w:tr>
      <w:tr>
        <w:trPr>
          <w:trHeight w:val="283"/>
        </w:trPr>
        <w:tc>
          <w:tcPr>
            <w:tcW w:w="1721" w:type="dxa"/>
            <w:vMerge/>
            <w:tcBorders>
              <w:top w:val="single" w:sz="8" w:space="0" w:color="auto"/>
              <w:left w:val="single" w:sz="8" w:space="0" w:color="auto"/>
              <w:bottom w:val="single" w:sz="8" w:space="0" w:color="auto"/>
              <w:right w:val="single" w:sz="8" w:space="0" w:color="auto"/>
            </w:tcBorders>
            <w:vAlign w:val="center"/>
          </w:tcPr>
          <w:p/>
        </w:tc>
        <w:tc>
          <w:tcPr>
            <w:tcW w:w="2029" w:type="dxa"/>
            <w:vMerge/>
            <w:tcBorders>
              <w:top w:val="single" w:sz="8" w:space="0" w:color="auto"/>
              <w:left w:val="single" w:sz="8" w:space="0" w:color="auto"/>
              <w:bottom w:val="single" w:sz="8" w:space="0" w:color="auto"/>
              <w:right w:val="single" w:sz="8" w:space="0" w:color="auto"/>
            </w:tcBorders>
            <w:vAlign w:val="center"/>
          </w:tcPr>
          <w:p/>
        </w:tc>
        <w:tc>
          <w:tcPr>
            <w:tcW w:w="4005"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涉及在楼面结构层开凿、扩大洞口，或者拆改房屋中抗震、防火措施以外的非承重墙体的，经责令改正已按要求停止施工的</w:t>
            </w:r>
          </w:p>
        </w:tc>
        <w:tc>
          <w:tcPr>
            <w:tcW w:w="2101" w:type="dxa"/>
            <w:vMerge/>
            <w:tcBorders>
              <w:top w:val="single" w:sz="4" w:space="0" w:color="auto"/>
              <w:left w:val="single" w:sz="8" w:space="0" w:color="auto"/>
              <w:bottom w:val="single" w:sz="4" w:space="0" w:color="auto"/>
              <w:right w:val="single" w:sz="4" w:space="0" w:color="auto"/>
            </w:tcBorders>
            <w:vAlign w:val="center"/>
          </w:tcPr>
          <w:p/>
        </w:tc>
        <w:tc>
          <w:tcPr>
            <w:tcW w:w="4166"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可不查封施工现场或不扣押违法施工的设备、工具和建筑材料</w:t>
            </w:r>
          </w:p>
        </w:tc>
      </w:tr>
      <w:tr>
        <w:trPr>
          <w:trHeight w:val="283"/>
        </w:trPr>
        <w:tc>
          <w:tcPr>
            <w:tcW w:w="1721" w:type="dxa"/>
            <w:vMerge/>
            <w:tcBorders>
              <w:top w:val="single" w:sz="8" w:space="0" w:color="auto"/>
              <w:left w:val="single" w:sz="8" w:space="0" w:color="auto"/>
              <w:bottom w:val="single" w:sz="8" w:space="0" w:color="auto"/>
              <w:right w:val="single" w:sz="8" w:space="0" w:color="auto"/>
            </w:tcBorders>
            <w:vAlign w:val="center"/>
          </w:tcPr>
          <w:p/>
        </w:tc>
        <w:tc>
          <w:tcPr>
            <w:tcW w:w="2029" w:type="dxa"/>
            <w:vMerge/>
            <w:tcBorders>
              <w:top w:val="single" w:sz="8" w:space="0" w:color="auto"/>
              <w:left w:val="single" w:sz="8" w:space="0" w:color="auto"/>
              <w:bottom w:val="single" w:sz="8" w:space="0" w:color="auto"/>
              <w:right w:val="single" w:sz="8" w:space="0" w:color="auto"/>
            </w:tcBorders>
            <w:vAlign w:val="center"/>
          </w:tcPr>
          <w:p/>
        </w:tc>
        <w:tc>
          <w:tcPr>
            <w:tcW w:w="4005"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装饰装修拆改房屋主要承重构件、抗震措施的，超过设计标准增大荷载，已按要求恢复原状的；或者依法依规办理规划和施工许可手续的</w:t>
            </w:r>
          </w:p>
        </w:tc>
        <w:tc>
          <w:tcPr>
            <w:tcW w:w="2101" w:type="dxa"/>
            <w:vMerge/>
            <w:tcBorders>
              <w:top w:val="single" w:sz="4" w:space="0" w:color="auto"/>
              <w:left w:val="single" w:sz="8" w:space="0" w:color="auto"/>
              <w:bottom w:val="single" w:sz="4" w:space="0" w:color="auto"/>
              <w:right w:val="single" w:sz="4" w:space="0" w:color="auto"/>
            </w:tcBorders>
            <w:vAlign w:val="center"/>
          </w:tcPr>
          <w:p/>
        </w:tc>
        <w:tc>
          <w:tcPr>
            <w:tcW w:w="4166"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可解除相关查封、扣押措施</w:t>
            </w:r>
          </w:p>
        </w:tc>
      </w:tr>
      <w:tr>
        <w:trPr>
          <w:trHeight w:val="730"/>
        </w:trPr>
        <w:tc>
          <w:tcPr>
            <w:tcW w:w="1721" w:type="dxa"/>
            <w:vMerge/>
            <w:tcBorders>
              <w:top w:val="single" w:sz="8" w:space="0" w:color="auto"/>
              <w:left w:val="single" w:sz="8" w:space="0" w:color="auto"/>
              <w:bottom w:val="single" w:sz="8" w:space="0" w:color="auto"/>
              <w:right w:val="single" w:sz="8" w:space="0" w:color="auto"/>
            </w:tcBorders>
            <w:vAlign w:val="center"/>
          </w:tcPr>
          <w:p/>
        </w:tc>
        <w:tc>
          <w:tcPr>
            <w:tcW w:w="2029" w:type="dxa"/>
            <w:vMerge/>
            <w:tcBorders>
              <w:top w:val="single" w:sz="8" w:space="0" w:color="auto"/>
              <w:left w:val="single" w:sz="8" w:space="0" w:color="auto"/>
              <w:bottom w:val="single" w:sz="8" w:space="0" w:color="auto"/>
              <w:right w:val="single" w:sz="8" w:space="0" w:color="auto"/>
            </w:tcBorders>
            <w:vAlign w:val="center"/>
          </w:tcPr>
          <w:p/>
        </w:tc>
        <w:tc>
          <w:tcPr>
            <w:tcW w:w="4005" w:type="dxa"/>
            <w:tcBorders>
              <w:top w:val="single" w:sz="8" w:space="0" w:color="auto"/>
              <w:left w:val="single" w:sz="8" w:space="0" w:color="auto"/>
              <w:bottom w:val="single" w:sz="8" w:space="0" w:color="auto"/>
              <w:right w:val="single" w:sz="8"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在楼面结构层开凿、扩大洞口，或者拆改房屋中抗震、防火措施以外的非承重墙体，已按规定取得房屋结构变动安全许可的或按规定完成整改的；或者依法依规办理规划和施工许可手续的</w:t>
            </w:r>
          </w:p>
        </w:tc>
        <w:tc>
          <w:tcPr>
            <w:tcW w:w="2101" w:type="dxa"/>
            <w:vMerge/>
            <w:tcBorders>
              <w:top w:val="single" w:sz="4" w:space="0" w:color="auto"/>
              <w:left w:val="single" w:sz="8" w:space="0" w:color="auto"/>
              <w:bottom w:val="single" w:sz="4" w:space="0" w:color="auto"/>
              <w:right w:val="single" w:sz="8" w:space="0" w:color="auto"/>
            </w:tcBorders>
            <w:vAlign w:val="center"/>
          </w:tcPr>
          <w:p/>
        </w:tc>
        <w:tc>
          <w:tcPr>
            <w:tcW w:w="4166" w:type="dxa"/>
            <w:tcBorders>
              <w:top w:val="single" w:sz="4" w:space="0" w:color="auto"/>
              <w:left w:val="single" w:sz="4" w:space="0" w:color="auto"/>
              <w:bottom w:val="single" w:sz="4" w:space="0" w:color="auto"/>
              <w:right w:val="single" w:sz="4" w:space="0" w:color="auto"/>
            </w:tcBorders>
            <w:vAlign w:val="center"/>
          </w:tcPr>
          <w:p>
            <w:pPr>
              <w:widowControl/>
              <w:spacing w:line="360" w:lineRule="exact"/>
              <w:jc w:val="left"/>
              <w:rPr>
                <w:rFonts w:ascii="仿宋" w:eastAsia="仿宋" w:cs="仿宋" w:hAnsi="仿宋"/>
                <w:color w:val="000000"/>
                <w:kern w:val="0"/>
                <w:sz w:val="24"/>
              </w:rPr>
            </w:pPr>
            <w:r>
              <w:rPr>
                <w:rFonts w:ascii="仿宋" w:eastAsia="仿宋" w:cs="仿宋" w:hAnsi="仿宋" w:hint="eastAsia"/>
                <w:color w:val="000000"/>
                <w:kern w:val="0"/>
                <w:sz w:val="24"/>
              </w:rPr>
              <w:t>可解除相关查封、扣押措施</w:t>
            </w:r>
          </w:p>
        </w:tc>
      </w:tr>
    </w:tbl>
    <w:p>
      <w:r>
        <w:br w:type="page"/>
      </w:r>
    </w:p>
    <w:p>
      <w:pPr>
        <w:sectPr>
          <w:pgSz w:w="16838" w:h="11906" w:orient="landscape"/>
          <w:pgMar w:top="1800" w:right="1440" w:bottom="1800" w:left="1440" w:header="851" w:footer="992" w:gutter="0"/>
          <w:pgNumType/>
          <w:cols w:num="1" w:space="425"/>
          <w:docGrid w:type="lines" w:linePitch="312" w:charSpace="0"/>
        </w:sectPr>
      </w:pPr>
    </w:p>
    <w:p>
      <w:pPr>
        <w:spacing w:line="600" w:lineRule="exact"/>
        <w:jc w:val="center"/>
        <w:rPr>
          <w:rFonts w:ascii="方正小标宋_GBK" w:eastAsia="方正小标宋_GBK" w:cs="宋体" w:hAnsi="宋体"/>
          <w:b/>
          <w:bCs/>
          <w:sz w:val="44"/>
          <w:szCs w:val="44"/>
        </w:rPr>
      </w:pPr>
      <w:r>
        <w:rPr>
          <w:rFonts w:ascii="方正小标宋_GBK" w:eastAsia="方正小标宋_GBK" w:cs="宋体" w:hAnsi="宋体" w:hint="eastAsia"/>
          <w:b/>
          <w:bCs/>
          <w:sz w:val="44"/>
          <w:szCs w:val="44"/>
        </w:rPr>
        <w:t>市住房保障和房产局</w:t>
      </w:r>
    </w:p>
    <w:p>
      <w:pPr>
        <w:spacing w:line="600" w:lineRule="exact"/>
        <w:jc w:val="center"/>
        <w:rPr>
          <w:rFonts w:ascii="方正小标宋_GBK" w:eastAsia="方正小标宋_GBK" w:cs="宋体" w:hAnsi="宋体"/>
          <w:b/>
          <w:bCs/>
          <w:sz w:val="44"/>
          <w:szCs w:val="44"/>
        </w:rPr>
      </w:pPr>
      <w:r>
        <w:rPr>
          <w:rFonts w:ascii="方正小标宋_GBK" w:eastAsia="方正小标宋_GBK" w:cs="宋体" w:hAnsi="宋体" w:hint="eastAsia"/>
          <w:b/>
          <w:bCs/>
          <w:sz w:val="44"/>
          <w:szCs w:val="44"/>
        </w:rPr>
        <w:t>关于修改部门行政规范性文件的通知</w:t>
      </w:r>
    </w:p>
    <w:p>
      <w:pPr>
        <w:jc w:val="center"/>
        <w:rPr>
          <w:rFonts w:ascii="Times New Roman" w:eastAsia="仿宋" w:cs="Times New Roman" w:hAnsi="Times New Roman"/>
          <w:sz w:val="32"/>
          <w:szCs w:val="24"/>
        </w:rPr>
      </w:pPr>
      <w:r>
        <w:rPr>
          <w:rFonts w:ascii="Times New Roman" w:eastAsia="仿宋" w:cs="Times New Roman" w:hAnsi="Times New Roman" w:hint="eastAsia"/>
          <w:sz w:val="32"/>
          <w:szCs w:val="24"/>
        </w:rPr>
        <w:t>宁房规字〔2023〕2号</w:t>
      </w:r>
    </w:p>
    <w:p>
      <w:pPr>
        <w:rPr>
          <w:rFonts w:ascii="Times New Roman" w:eastAsia="仿宋" w:cs="Times New Roman" w:hAnsi="Times New Roman" w:hint="eastAsia"/>
          <w:sz w:val="32"/>
          <w:szCs w:val="24"/>
        </w:rPr>
      </w:pPr>
    </w:p>
    <w:p>
      <w:pPr>
        <w:rPr>
          <w:rFonts w:ascii="Times New Roman" w:eastAsia="仿宋" w:cs="Times New Roman" w:hAnsi="Times New Roman"/>
          <w:sz w:val="32"/>
          <w:szCs w:val="24"/>
        </w:rPr>
      </w:pPr>
      <w:r>
        <w:rPr>
          <w:rFonts w:ascii="Times New Roman" w:eastAsia="仿宋" w:cs="Times New Roman" w:hAnsi="Times New Roman" w:hint="eastAsia"/>
          <w:sz w:val="32"/>
          <w:szCs w:val="24"/>
        </w:rPr>
        <w:t>各有关单位：</w:t>
      </w:r>
    </w:p>
    <w:p>
      <w:pPr>
        <w:ind w:firstLineChars="200" w:firstLine="640"/>
        <w:rPr>
          <w:rFonts w:ascii="Times New Roman" w:eastAsia="仿宋" w:cs="Times New Roman" w:hAnsi="Times New Roman"/>
          <w:sz w:val="32"/>
          <w:szCs w:val="24"/>
        </w:rPr>
      </w:pPr>
      <w:r>
        <w:rPr>
          <w:rFonts w:ascii="Times New Roman" w:eastAsia="仿宋" w:cs="Times New Roman" w:hAnsi="Times New Roman" w:hint="eastAsia"/>
          <w:sz w:val="32"/>
          <w:szCs w:val="24"/>
        </w:rPr>
        <w:t>为贯彻落实《江苏省行政规范性文件管理规定》，加强部门规范性文件管理，维护法制统一，结合工作实际，我局对《关于印发〈南京市住宅物业管理项目招投标实施办法〉的通知》等</w:t>
      </w:r>
      <w:r>
        <w:rPr>
          <w:rFonts w:ascii="仿宋" w:eastAsia="仿宋" w:cs="Times New Roman" w:hAnsi="仿宋" w:hint="eastAsia"/>
          <w:sz w:val="32"/>
          <w:szCs w:val="24"/>
        </w:rPr>
        <w:t>9件部</w:t>
      </w:r>
      <w:r>
        <w:rPr>
          <w:rFonts w:ascii="Times New Roman" w:eastAsia="仿宋" w:cs="Times New Roman" w:hAnsi="Times New Roman" w:hint="eastAsia"/>
          <w:sz w:val="32"/>
          <w:szCs w:val="24"/>
        </w:rPr>
        <w:t>门行政规范性文件进行了清理，并对部分条款进行了修改：</w:t>
      </w:r>
    </w:p>
    <w:p>
      <w:pPr>
        <w:ind w:firstLineChars="200" w:firstLine="640"/>
        <w:rPr>
          <w:rFonts w:ascii="黑体" w:eastAsia="黑体" w:cs="黑体" w:hAnsi="黑体"/>
          <w:sz w:val="32"/>
          <w:szCs w:val="24"/>
        </w:rPr>
      </w:pPr>
      <w:r>
        <w:rPr>
          <w:rFonts w:ascii="黑体" w:eastAsia="黑体" w:cs="黑体" w:hAnsi="黑体" w:hint="eastAsia"/>
          <w:sz w:val="32"/>
          <w:szCs w:val="24"/>
        </w:rPr>
        <w:t>一、对《关于印发〈南京市住宅物业管理项目招投标实施办法〉的通知》（宁房规字〔2016〕2号）作出修改</w:t>
      </w:r>
    </w:p>
    <w:p>
      <w:pPr>
        <w:ind w:firstLineChars="200" w:firstLine="640"/>
        <w:rPr>
          <w:rFonts w:ascii="Times New Roman" w:eastAsia="仿宋" w:cs="Times New Roman" w:hAnsi="Times New Roman"/>
          <w:sz w:val="32"/>
          <w:szCs w:val="24"/>
        </w:rPr>
      </w:pPr>
      <w:r>
        <w:rPr>
          <w:rFonts w:ascii="Times New Roman" w:eastAsia="仿宋" w:cs="Times New Roman" w:hAnsi="Times New Roman" w:hint="eastAsia"/>
          <w:sz w:val="32"/>
          <w:szCs w:val="24"/>
        </w:rPr>
        <w:t>（一）保留宁房法字〔2020〕8号文和〔2020〕259号文相关修改内容。</w:t>
      </w:r>
    </w:p>
    <w:p>
      <w:pPr>
        <w:ind w:firstLineChars="200" w:firstLine="640"/>
        <w:rPr>
          <w:rFonts w:ascii="Times New Roman" w:eastAsia="仿宋" w:cs="Times New Roman" w:hAnsi="Times New Roman"/>
          <w:sz w:val="32"/>
          <w:szCs w:val="24"/>
        </w:rPr>
      </w:pPr>
      <w:r>
        <w:rPr>
          <w:rFonts w:ascii="Times New Roman" w:eastAsia="仿宋" w:cs="Times New Roman" w:hAnsi="Times New Roman" w:hint="eastAsia"/>
          <w:sz w:val="32"/>
          <w:szCs w:val="24"/>
        </w:rPr>
        <w:t>（二）将第二条第二款修改为“本办法所称住宅物业管理项目招投标，是指住宅项目的建设单位、业主组织等招标人通过招投标方式，选聘物业服务企业的活动。”。</w:t>
      </w:r>
    </w:p>
    <w:p>
      <w:pPr>
        <w:spacing w:line="360" w:lineRule="auto"/>
        <w:ind w:firstLineChars="200" w:firstLine="640"/>
        <w:rPr>
          <w:rFonts w:ascii="Times New Roman" w:eastAsia="仿宋" w:cs="Times New Roman" w:hAnsi="Times New Roman"/>
          <w:sz w:val="32"/>
          <w:szCs w:val="24"/>
        </w:rPr>
      </w:pPr>
      <w:r>
        <w:rPr>
          <w:rFonts w:ascii="Times New Roman" w:eastAsia="仿宋" w:cs="Times New Roman" w:hAnsi="Times New Roman" w:hint="eastAsia"/>
          <w:sz w:val="32"/>
          <w:szCs w:val="24"/>
        </w:rPr>
        <w:t>（三）将第三条第二款修改为“</w:t>
      </w:r>
      <w:r>
        <w:rPr>
          <w:rFonts w:ascii="仿宋_GB2312" w:eastAsia="仿宋_GB2312" w:cs="Times New Roman" w:hAnsi="Times New Roman" w:hint="eastAsia"/>
          <w:sz w:val="32"/>
          <w:szCs w:val="32"/>
        </w:rPr>
        <w:t>各区、江北新区物业管理行政主管部门按照规定职责分工，做好辖区住宅物业管理项目的招投标日常监督管理工作。</w:t>
      </w:r>
      <w:r>
        <w:rPr>
          <w:rFonts w:ascii="Times New Roman" w:eastAsia="仿宋" w:cs="Times New Roman" w:hAnsi="Times New Roman" w:hint="eastAsia"/>
          <w:sz w:val="32"/>
          <w:szCs w:val="24"/>
        </w:rPr>
        <w:t>”。</w:t>
      </w:r>
    </w:p>
    <w:p>
      <w:pPr>
        <w:spacing w:line="360" w:lineRule="auto"/>
        <w:ind w:firstLineChars="200" w:firstLine="640"/>
        <w:rPr>
          <w:rFonts w:ascii="Times New Roman" w:eastAsia="仿宋" w:cs="Times New Roman" w:hAnsi="Times New Roman"/>
          <w:sz w:val="32"/>
          <w:szCs w:val="24"/>
        </w:rPr>
      </w:pPr>
      <w:r>
        <w:rPr>
          <w:rFonts w:ascii="Times New Roman" w:eastAsia="仿宋" w:cs="Times New Roman" w:hAnsi="Times New Roman" w:hint="eastAsia"/>
          <w:sz w:val="32"/>
          <w:szCs w:val="24"/>
        </w:rPr>
        <w:t>（四）将第六条修改为：</w:t>
      </w:r>
    </w:p>
    <w:p>
      <w:pPr>
        <w:spacing w:line="360" w:lineRule="auto"/>
        <w:ind w:firstLineChars="200" w:firstLine="640"/>
        <w:rPr>
          <w:rFonts w:ascii="Times New Roman" w:eastAsia="仿宋" w:cs="Times New Roman" w:hAnsi="Times New Roman"/>
          <w:sz w:val="32"/>
          <w:szCs w:val="24"/>
        </w:rPr>
      </w:pPr>
      <w:r>
        <w:rPr>
          <w:rFonts w:ascii="Times New Roman" w:eastAsia="仿宋" w:cs="Times New Roman" w:hAnsi="Times New Roman" w:hint="eastAsia"/>
          <w:sz w:val="32"/>
          <w:szCs w:val="24"/>
        </w:rPr>
        <w:t>“</w:t>
      </w:r>
      <w:r>
        <w:rPr>
          <w:rFonts w:ascii="仿宋_GB2312" w:eastAsia="仿宋_GB2312" w:cs="Times New Roman" w:hAnsi="Times New Roman" w:hint="eastAsia"/>
          <w:sz w:val="32"/>
          <w:szCs w:val="32"/>
        </w:rPr>
        <w:t>建设单位应当在发布招标公告或者发出投标邀请书的十日前，提交下列材料报各区、江北新区物业管理行政主管部门备案，并可选择通过招投标平台</w:t>
      </w:r>
      <w:r>
        <w:rPr>
          <w:rFonts w:ascii="Times New Roman" w:eastAsia="仿宋" w:cs="Times New Roman" w:hAnsi="Times New Roman" w:hint="eastAsia"/>
          <w:sz w:val="32"/>
          <w:szCs w:val="24"/>
        </w:rPr>
        <w:t>发布招标公告：</w:t>
      </w:r>
    </w:p>
    <w:p>
      <w:pPr>
        <w:spacing w:line="360" w:lineRule="auto"/>
        <w:ind w:firstLineChars="200" w:firstLine="640"/>
        <w:rPr>
          <w:rFonts w:ascii="Times New Roman" w:eastAsia="仿宋" w:cs="Times New Roman" w:hAnsi="Times New Roman"/>
          <w:sz w:val="32"/>
          <w:szCs w:val="24"/>
        </w:rPr>
      </w:pPr>
      <w:r>
        <w:rPr>
          <w:rFonts w:ascii="Times New Roman" w:eastAsia="仿宋" w:cs="Times New Roman" w:hAnsi="Times New Roman" w:hint="eastAsia"/>
          <w:sz w:val="32"/>
          <w:szCs w:val="24"/>
        </w:rPr>
        <w:t>（一）招标项目的建设项目批文、国有建设用地不动产权证</w:t>
      </w:r>
      <w:r>
        <w:rPr>
          <w:rFonts w:ascii="Times New Roman" w:eastAsia="仿宋" w:cs="Times New Roman" w:hAnsi="Times New Roman"/>
          <w:sz w:val="32"/>
          <w:szCs w:val="24"/>
        </w:rPr>
        <w:t>（国有土地使用权出让合同）</w:t>
      </w:r>
      <w:r>
        <w:rPr>
          <w:rFonts w:ascii="Times New Roman" w:eastAsia="仿宋" w:cs="Times New Roman" w:hAnsi="Times New Roman" w:hint="eastAsia"/>
          <w:sz w:val="32"/>
          <w:szCs w:val="24"/>
        </w:rPr>
        <w:t>、规划方案审定意见书</w:t>
      </w:r>
      <w:r>
        <w:rPr>
          <w:rFonts w:ascii="Times New Roman" w:eastAsia="仿宋" w:cs="Times New Roman" w:hAnsi="Times New Roman"/>
          <w:sz w:val="32"/>
          <w:szCs w:val="24"/>
        </w:rPr>
        <w:t>（</w:t>
      </w:r>
      <w:r>
        <w:rPr>
          <w:rFonts w:ascii="Times New Roman" w:eastAsia="仿宋" w:cs="Times New Roman" w:hAnsi="Times New Roman" w:hint="eastAsia"/>
          <w:sz w:val="32"/>
          <w:szCs w:val="24"/>
        </w:rPr>
        <w:t>总平图</w:t>
      </w:r>
      <w:r>
        <w:rPr>
          <w:rFonts w:ascii="Times New Roman" w:eastAsia="仿宋" w:cs="Times New Roman" w:hAnsi="Times New Roman"/>
          <w:sz w:val="32"/>
          <w:szCs w:val="24"/>
        </w:rPr>
        <w:t>）</w:t>
      </w:r>
      <w:r>
        <w:rPr>
          <w:rFonts w:ascii="Times New Roman" w:eastAsia="仿宋" w:cs="Times New Roman" w:hAnsi="Times New Roman" w:hint="eastAsia"/>
          <w:sz w:val="32"/>
          <w:szCs w:val="24"/>
        </w:rPr>
        <w:t>；</w:t>
      </w:r>
      <w:r>
        <w:rPr>
          <w:rFonts w:ascii="Times New Roman" w:eastAsia="仿宋" w:cs="Times New Roman" w:hAnsi="Times New Roman"/>
          <w:sz w:val="32"/>
          <w:szCs w:val="24"/>
        </w:rPr>
        <w:t xml:space="preserve"> </w:t>
      </w:r>
    </w:p>
    <w:p>
      <w:pPr>
        <w:spacing w:line="360" w:lineRule="auto"/>
        <w:ind w:firstLineChars="200" w:firstLine="640"/>
        <w:rPr>
          <w:rFonts w:ascii="Times New Roman" w:eastAsia="仿宋" w:cs="Times New Roman" w:hAnsi="Times New Roman"/>
          <w:sz w:val="32"/>
          <w:szCs w:val="24"/>
        </w:rPr>
      </w:pPr>
      <w:r>
        <w:rPr>
          <w:rFonts w:ascii="Times New Roman" w:eastAsia="仿宋" w:cs="Times New Roman" w:hAnsi="Times New Roman" w:hint="eastAsia"/>
          <w:sz w:val="32"/>
          <w:szCs w:val="24"/>
        </w:rPr>
        <w:t>（二）招标公告或者投标邀请书；</w:t>
      </w:r>
    </w:p>
    <w:p>
      <w:pPr>
        <w:spacing w:line="360" w:lineRule="auto"/>
        <w:ind w:firstLineChars="200" w:firstLine="640"/>
        <w:rPr>
          <w:rFonts w:ascii="Times New Roman" w:eastAsia="仿宋" w:cs="Times New Roman" w:hAnsi="Times New Roman"/>
          <w:sz w:val="32"/>
          <w:szCs w:val="24"/>
        </w:rPr>
      </w:pPr>
      <w:r>
        <w:rPr>
          <w:rFonts w:ascii="Times New Roman" w:eastAsia="仿宋" w:cs="Times New Roman" w:hAnsi="Times New Roman" w:hint="eastAsia"/>
          <w:sz w:val="32"/>
          <w:szCs w:val="24"/>
        </w:rPr>
        <w:t>（三）招标文件；</w:t>
      </w:r>
    </w:p>
    <w:p>
      <w:pPr>
        <w:spacing w:line="360" w:lineRule="auto"/>
        <w:ind w:firstLineChars="200" w:firstLine="640"/>
        <w:rPr>
          <w:rFonts w:ascii="Times New Roman" w:eastAsia="仿宋" w:cs="Times New Roman" w:hAnsi="Times New Roman"/>
          <w:sz w:val="32"/>
          <w:szCs w:val="24"/>
        </w:rPr>
      </w:pPr>
      <w:r>
        <w:rPr>
          <w:rFonts w:ascii="Times New Roman" w:eastAsia="仿宋" w:cs="Times New Roman" w:hAnsi="Times New Roman" w:hint="eastAsia"/>
          <w:sz w:val="32"/>
          <w:szCs w:val="24"/>
        </w:rPr>
        <w:t>（四）代理招标</w:t>
      </w:r>
      <w:r>
        <w:rPr>
          <w:rFonts w:ascii="Times New Roman" w:eastAsia="仿宋" w:cs="Times New Roman" w:hAnsi="Times New Roman" w:hint="eastAsia"/>
          <w:sz w:val="32"/>
          <w:szCs w:val="24"/>
        </w:rPr>
        <w:fldChar w:fldCharType="begin"/>
      </w:r>
      <w:r>
        <w:instrText>HYPERLINK "http://www.lawtime.cn/info/hetong/htfanben/weituo/"</w:instrText>
      </w:r>
      <w:r>
        <w:rPr>
          <w:rFonts w:ascii="Times New Roman" w:eastAsia="仿宋" w:cs="Times New Roman" w:hAnsi="Times New Roman" w:hint="eastAsia"/>
          <w:sz w:val="32"/>
          <w:szCs w:val="24"/>
        </w:rPr>
        <w:fldChar w:fldCharType="separate"/>
      </w:r>
      <w:r>
        <w:rPr>
          <w:rFonts w:ascii="Times New Roman" w:eastAsia="仿宋" w:cs="Times New Roman" w:hAnsi="Times New Roman" w:hint="eastAsia"/>
          <w:sz w:val="32"/>
          <w:szCs w:val="24"/>
        </w:rPr>
        <w:t>委托合同</w:t>
      </w:r>
      <w:r>
        <w:rPr>
          <w:rFonts w:ascii="Times New Roman" w:eastAsia="仿宋" w:cs="Times New Roman" w:hAnsi="Times New Roman" w:hint="eastAsia"/>
          <w:sz w:val="32"/>
          <w:szCs w:val="24"/>
        </w:rPr>
        <w:fldChar w:fldCharType="end"/>
      </w:r>
      <w:r>
        <w:rPr>
          <w:rFonts w:ascii="Times New Roman" w:eastAsia="仿宋" w:cs="Times New Roman" w:hAnsi="Times New Roman" w:hint="eastAsia"/>
          <w:sz w:val="32"/>
          <w:szCs w:val="24"/>
        </w:rPr>
        <w:t>（适用委托机构代理）；</w:t>
      </w:r>
    </w:p>
    <w:p>
      <w:pPr>
        <w:spacing w:line="360" w:lineRule="auto"/>
        <w:ind w:firstLineChars="200" w:firstLine="640"/>
        <w:rPr>
          <w:rFonts w:ascii="Times New Roman" w:eastAsia="仿宋" w:cs="Times New Roman" w:hAnsi="Times New Roman"/>
          <w:sz w:val="32"/>
          <w:szCs w:val="24"/>
        </w:rPr>
      </w:pPr>
      <w:r>
        <w:rPr>
          <w:rFonts w:ascii="Times New Roman" w:eastAsia="仿宋" w:cs="Times New Roman" w:hAnsi="Times New Roman" w:hint="eastAsia"/>
          <w:sz w:val="32"/>
          <w:szCs w:val="24"/>
        </w:rPr>
        <w:t>（五）法律、法规规定的其他材料。</w:t>
      </w:r>
    </w:p>
    <w:p>
      <w:pPr>
        <w:spacing w:line="360" w:lineRule="auto"/>
        <w:ind w:firstLineChars="200" w:firstLine="640"/>
        <w:rPr>
          <w:rFonts w:ascii="Times New Roman" w:eastAsia="仿宋" w:cs="Times New Roman" w:hAnsi="Times New Roman"/>
          <w:sz w:val="32"/>
          <w:szCs w:val="24"/>
        </w:rPr>
      </w:pPr>
      <w:r>
        <w:rPr>
          <w:rFonts w:ascii="Times New Roman" w:eastAsia="仿宋" w:cs="Times New Roman" w:hAnsi="Times New Roman" w:hint="eastAsia"/>
          <w:sz w:val="32"/>
          <w:szCs w:val="24"/>
        </w:rPr>
        <w:t>鼓励有条件的区按规定推行证明事项告知承诺管理。建设单位书面承诺已经符合告知的相关要求并愿意承担不实承诺的法律责任，物业管理行政主管部门不再索要有关证明并依据书面承诺办理备案。”。</w:t>
      </w:r>
    </w:p>
    <w:p>
      <w:pPr>
        <w:spacing w:line="360" w:lineRule="auto"/>
        <w:ind w:firstLineChars="200" w:firstLine="640"/>
        <w:rPr>
          <w:rFonts w:ascii="Times New Roman" w:eastAsia="仿宋" w:cs="Times New Roman" w:hAnsi="Times New Roman"/>
          <w:sz w:val="32"/>
          <w:szCs w:val="24"/>
        </w:rPr>
      </w:pPr>
      <w:r>
        <w:rPr>
          <w:rFonts w:ascii="Times New Roman" w:eastAsia="仿宋" w:cs="Times New Roman" w:hAnsi="Times New Roman" w:hint="eastAsia"/>
          <w:sz w:val="32"/>
          <w:szCs w:val="24"/>
        </w:rPr>
        <w:t>（五）将第九条修改为：</w:t>
      </w:r>
    </w:p>
    <w:p>
      <w:pPr>
        <w:spacing w:line="360" w:lineRule="auto"/>
        <w:ind w:firstLineChars="200" w:firstLine="640"/>
        <w:rPr>
          <w:rFonts w:ascii="仿宋_GB2312" w:eastAsia="仿宋_GB2312" w:cs="Times New Roman" w:hAnsi="Times New Roman"/>
          <w:sz w:val="32"/>
          <w:szCs w:val="32"/>
        </w:rPr>
      </w:pPr>
      <w:r>
        <w:rPr>
          <w:rFonts w:ascii="Times New Roman" w:eastAsia="仿宋" w:cs="Times New Roman" w:hAnsi="Times New Roman" w:hint="eastAsia"/>
          <w:sz w:val="32"/>
          <w:szCs w:val="24"/>
        </w:rPr>
        <w:t>“</w:t>
      </w:r>
      <w:r>
        <w:rPr>
          <w:rFonts w:ascii="仿宋_GB2312" w:eastAsia="仿宋_GB2312" w:cs="Times New Roman" w:hAnsi="Times New Roman" w:hint="eastAsia"/>
          <w:sz w:val="32"/>
          <w:szCs w:val="32"/>
        </w:rPr>
        <w:t>建设单位应当自确定中标人后三十日内，向各区、江北新区物业管理行政主管部门办理备案手续，提交下列资料：</w:t>
      </w:r>
    </w:p>
    <w:p>
      <w:pPr>
        <w:numPr>
          <w:ilvl w:val="0"/>
          <w:numId w:val="2"/>
        </w:numPr>
        <w:spacing w:line="360" w:lineRule="auto"/>
        <w:ind w:left="0" w:firstLineChars="225" w:firstLine="720"/>
        <w:rPr>
          <w:rFonts w:ascii="仿宋_GB2312" w:eastAsia="仿宋_GB2312" w:cs="Times New Roman" w:hAnsi="Times New Roman"/>
          <w:sz w:val="32"/>
          <w:szCs w:val="32"/>
        </w:rPr>
      </w:pPr>
      <w:r>
        <w:rPr>
          <w:rFonts w:ascii="仿宋_GB2312" w:eastAsia="仿宋_GB2312" w:cs="Times New Roman" w:hAnsi="Times New Roman" w:hint="eastAsia"/>
          <w:sz w:val="32"/>
          <w:szCs w:val="32"/>
        </w:rPr>
        <w:t>开标评标过程说明，委托代理招标的，还应提供招标代理委托合同；</w:t>
      </w:r>
    </w:p>
    <w:p>
      <w:pPr>
        <w:numPr>
          <w:ilvl w:val="0"/>
          <w:numId w:val="2"/>
        </w:numPr>
        <w:spacing w:line="360" w:lineRule="auto"/>
        <w:ind w:left="0" w:firstLineChars="225" w:firstLine="720"/>
        <w:rPr>
          <w:rFonts w:ascii="仿宋_GB2312" w:eastAsia="仿宋_GB2312" w:cs="Times New Roman" w:hAnsi="Times New Roman"/>
          <w:sz w:val="32"/>
          <w:szCs w:val="32"/>
        </w:rPr>
      </w:pPr>
      <w:r>
        <w:rPr>
          <w:rFonts w:ascii="仿宋_GB2312" w:eastAsia="仿宋_GB2312" w:cs="Times New Roman" w:hAnsi="Times New Roman" w:hint="eastAsia"/>
          <w:sz w:val="32"/>
          <w:szCs w:val="32"/>
        </w:rPr>
        <w:t>确定中标人的方式及理由说明；</w:t>
      </w:r>
    </w:p>
    <w:p>
      <w:pPr>
        <w:numPr>
          <w:ilvl w:val="0"/>
          <w:numId w:val="2"/>
        </w:numPr>
        <w:spacing w:line="360" w:lineRule="auto"/>
        <w:ind w:left="0" w:firstLineChars="225" w:firstLine="720"/>
        <w:rPr>
          <w:rFonts w:ascii="仿宋_GB2312" w:eastAsia="仿宋_GB2312" w:cs="Times New Roman" w:hAnsi="Times New Roman"/>
          <w:sz w:val="32"/>
          <w:szCs w:val="32"/>
        </w:rPr>
      </w:pPr>
      <w:r>
        <w:rPr>
          <w:rFonts w:ascii="仿宋_GB2312" w:eastAsia="仿宋_GB2312" w:cs="Times New Roman" w:hAnsi="Times New Roman" w:hint="eastAsia"/>
          <w:sz w:val="32"/>
          <w:szCs w:val="32"/>
        </w:rPr>
        <w:t>评标委员会的评标报告；</w:t>
      </w:r>
    </w:p>
    <w:p>
      <w:pPr>
        <w:numPr>
          <w:ilvl w:val="0"/>
          <w:numId w:val="2"/>
        </w:numPr>
        <w:spacing w:line="360" w:lineRule="auto"/>
        <w:ind w:left="0" w:firstLineChars="225" w:firstLine="720"/>
        <w:rPr>
          <w:rFonts w:ascii="仿宋_GB2312" w:eastAsia="仿宋_GB2312" w:cs="Times New Roman" w:hAnsi="Times New Roman"/>
          <w:sz w:val="32"/>
          <w:szCs w:val="32"/>
        </w:rPr>
      </w:pPr>
      <w:r>
        <w:rPr>
          <w:rFonts w:ascii="仿宋_GB2312" w:eastAsia="仿宋_GB2312" w:cs="Times New Roman" w:hAnsi="Times New Roman" w:hint="eastAsia"/>
          <w:sz w:val="32"/>
          <w:szCs w:val="32"/>
        </w:rPr>
        <w:t>中标人的投标文件；</w:t>
      </w:r>
      <w:r>
        <w:rPr>
          <w:rFonts w:ascii="仿宋_GB2312" w:eastAsia="仿宋_GB2312" w:cs="Times New Roman" w:hAnsi="Times New Roman"/>
          <w:sz w:val="32"/>
          <w:szCs w:val="32"/>
        </w:rPr>
        <w:t xml:space="preserve"> </w:t>
      </w:r>
    </w:p>
    <w:p>
      <w:pPr>
        <w:numPr>
          <w:ilvl w:val="0"/>
          <w:numId w:val="2"/>
        </w:numPr>
        <w:spacing w:line="360" w:lineRule="auto"/>
        <w:ind w:left="0" w:firstLineChars="225" w:firstLine="720"/>
        <w:rPr>
          <w:rFonts w:ascii="仿宋_GB2312" w:eastAsia="仿宋_GB2312" w:cs="Times New Roman" w:hAnsi="Times New Roman"/>
          <w:sz w:val="32"/>
          <w:szCs w:val="32"/>
        </w:rPr>
      </w:pPr>
      <w:r>
        <w:rPr>
          <w:rFonts w:ascii="仿宋_GB2312" w:eastAsia="仿宋_GB2312" w:cs="Times New Roman" w:hAnsi="Times New Roman" w:hint="eastAsia"/>
          <w:sz w:val="32"/>
          <w:szCs w:val="32"/>
        </w:rPr>
        <w:t>前期物业服务合同（示范文本）。</w:t>
      </w:r>
    </w:p>
    <w:p>
      <w:pPr>
        <w:spacing w:line="360" w:lineRule="auto"/>
        <w:ind w:firstLineChars="200" w:firstLine="640"/>
        <w:rPr>
          <w:rFonts w:ascii="Times New Roman" w:eastAsia="仿宋" w:cs="Times New Roman" w:hAnsi="Times New Roman"/>
          <w:sz w:val="32"/>
          <w:szCs w:val="24"/>
        </w:rPr>
      </w:pPr>
      <w:r>
        <w:rPr>
          <w:rFonts w:ascii="仿宋_GB2312" w:eastAsia="仿宋_GB2312" w:cs="Times New Roman" w:hAnsi="Times New Roman" w:hint="eastAsia"/>
          <w:sz w:val="32"/>
          <w:szCs w:val="32"/>
        </w:rPr>
        <w:t>物业管理行政主管部门应当在收齐上述资料之日起三个工作日内办理中标备案手续，在物业服务合同上加盖备案章，出具中标备案表。房屋交易管理部门在办理建设单位房屋预（现）售手续时，应当依法核查经过备案的前期物业服务合同。</w:t>
      </w:r>
      <w:r>
        <w:rPr>
          <w:rFonts w:ascii="Times New Roman" w:eastAsia="仿宋" w:cs="Times New Roman" w:hAnsi="Times New Roman" w:hint="eastAsia"/>
          <w:sz w:val="32"/>
          <w:szCs w:val="24"/>
        </w:rPr>
        <w:t>”。</w:t>
      </w:r>
    </w:p>
    <w:p>
      <w:pPr>
        <w:ind w:firstLineChars="200" w:firstLine="640"/>
        <w:rPr>
          <w:rFonts w:ascii="仿宋" w:eastAsia="仿宋" w:cs="仿宋" w:hAnsi="仿宋"/>
          <w:sz w:val="32"/>
          <w:szCs w:val="24"/>
        </w:rPr>
      </w:pPr>
      <w:r>
        <w:rPr>
          <w:rFonts w:ascii="Times New Roman" w:eastAsia="仿宋" w:cs="Times New Roman" w:hAnsi="Times New Roman" w:hint="eastAsia"/>
          <w:sz w:val="32"/>
          <w:szCs w:val="24"/>
        </w:rPr>
        <w:t>（六）将第十二条修改为“</w:t>
      </w:r>
      <w:r>
        <w:rPr>
          <w:rFonts w:ascii="仿宋" w:eastAsia="仿宋" w:cs="Times New Roman" w:hAnsi="仿宋" w:hint="eastAsia"/>
          <w:sz w:val="32"/>
          <w:szCs w:val="24"/>
        </w:rPr>
        <w:t>本办法自2017年3月1日起施行，有效期至202</w:t>
      </w:r>
      <w:r>
        <w:rPr>
          <w:rFonts w:ascii="仿宋" w:eastAsia="仿宋" w:cs="Times New Roman" w:hAnsi="仿宋"/>
          <w:sz w:val="32"/>
          <w:szCs w:val="24"/>
        </w:rPr>
        <w:t>8</w:t>
      </w:r>
      <w:r>
        <w:rPr>
          <w:rFonts w:ascii="仿宋" w:eastAsia="仿宋" w:cs="Times New Roman" w:hAnsi="仿宋" w:hint="eastAsia"/>
          <w:sz w:val="32"/>
          <w:szCs w:val="24"/>
        </w:rPr>
        <w:t>年</w:t>
      </w:r>
      <w:r>
        <w:rPr>
          <w:rFonts w:ascii="仿宋" w:eastAsia="仿宋" w:cs="Times New Roman" w:hAnsi="仿宋"/>
          <w:sz w:val="32"/>
          <w:szCs w:val="24"/>
        </w:rPr>
        <w:t>8</w:t>
      </w:r>
      <w:r>
        <w:rPr>
          <w:rFonts w:ascii="仿宋" w:eastAsia="仿宋" w:cs="Times New Roman" w:hAnsi="仿宋" w:hint="eastAsia"/>
          <w:sz w:val="32"/>
          <w:szCs w:val="24"/>
        </w:rPr>
        <w:t>月</w:t>
      </w:r>
      <w:r>
        <w:rPr>
          <w:rFonts w:ascii="仿宋" w:eastAsia="仿宋" w:cs="Times New Roman" w:hAnsi="仿宋"/>
          <w:sz w:val="32"/>
          <w:szCs w:val="24"/>
        </w:rPr>
        <w:t>24</w:t>
      </w:r>
      <w:r>
        <w:rPr>
          <w:rFonts w:ascii="仿宋" w:eastAsia="仿宋" w:cs="Times New Roman" w:hAnsi="仿宋" w:hint="eastAsia"/>
          <w:sz w:val="32"/>
          <w:szCs w:val="24"/>
        </w:rPr>
        <w:t>日止。</w:t>
      </w:r>
      <w:r>
        <w:rPr>
          <w:rFonts w:ascii="仿宋" w:eastAsia="仿宋" w:cs="仿宋" w:hAnsi="仿宋" w:hint="eastAsia"/>
          <w:sz w:val="32"/>
          <w:szCs w:val="24"/>
        </w:rPr>
        <w:t>原南京市房产管理局《关于印发〈前期物业管理招标投标管理暂行办法〉的实施意见》（宁房物〔2003〕216号）、《关于〈前期物业管理招标投标管理暂行办法的实施意见〉的补充意见》（宁房物〔2008〕136号）同时废止。”。</w:t>
      </w:r>
    </w:p>
    <w:p>
      <w:pPr>
        <w:ind w:firstLineChars="200" w:firstLine="640"/>
        <w:rPr>
          <w:rFonts w:ascii="黑体" w:eastAsia="黑体" w:cs="黑体" w:hAnsi="黑体"/>
          <w:sz w:val="32"/>
          <w:szCs w:val="24"/>
        </w:rPr>
      </w:pPr>
      <w:r>
        <w:rPr>
          <w:rFonts w:ascii="黑体" w:eastAsia="黑体" w:cs="黑体" w:hAnsi="黑体" w:hint="eastAsia"/>
          <w:sz w:val="32"/>
          <w:szCs w:val="24"/>
        </w:rPr>
        <w:t>二、对《市房产局关于印发〈南京市住宅区首次业主大会会议筹备经费管理办法（试行）〉的通知》（宁房规字〔2016〕3号）作出修改</w:t>
      </w:r>
    </w:p>
    <w:p>
      <w:pPr>
        <w:ind w:firstLineChars="200" w:firstLine="640"/>
        <w:rPr>
          <w:rFonts w:ascii="Times New Roman" w:eastAsia="仿宋" w:cs="Times New Roman" w:hAnsi="Times New Roman"/>
          <w:sz w:val="32"/>
          <w:szCs w:val="24"/>
        </w:rPr>
      </w:pPr>
      <w:r>
        <w:rPr>
          <w:rFonts w:ascii="Times New Roman" w:eastAsia="仿宋" w:cs="Times New Roman" w:hAnsi="Times New Roman" w:hint="eastAsia"/>
          <w:sz w:val="32"/>
          <w:szCs w:val="24"/>
        </w:rPr>
        <w:t>（一）将标题修改为“《市房产局关于印发〈南京市住宅区首次业主大会会议筹备经费管理办法〉的通知》”。</w:t>
      </w:r>
    </w:p>
    <w:p>
      <w:pPr>
        <w:ind w:firstLineChars="200" w:firstLine="640"/>
        <w:rPr>
          <w:rFonts w:ascii="仿宋" w:eastAsia="仿宋" w:cs="Times New Roman" w:hAnsi="仿宋"/>
          <w:sz w:val="32"/>
          <w:szCs w:val="24"/>
        </w:rPr>
      </w:pPr>
      <w:r>
        <w:rPr>
          <w:rFonts w:ascii="Times New Roman" w:eastAsia="仿宋" w:cs="Times New Roman" w:hAnsi="Times New Roman" w:hint="eastAsia"/>
          <w:sz w:val="32"/>
          <w:szCs w:val="24"/>
        </w:rPr>
        <w:t>（二</w:t>
      </w:r>
      <w:r>
        <w:rPr>
          <w:rFonts w:ascii="仿宋" w:eastAsia="仿宋" w:cs="Times New Roman" w:hAnsi="仿宋" w:hint="eastAsia"/>
          <w:sz w:val="32"/>
          <w:szCs w:val="24"/>
        </w:rPr>
        <w:t>）保留宁房法字〔2018〕181号文修改内容。</w:t>
      </w:r>
    </w:p>
    <w:p>
      <w:pPr>
        <w:ind w:firstLineChars="200" w:firstLine="640"/>
        <w:rPr>
          <w:rFonts w:ascii="仿宋" w:eastAsia="仿宋" w:cs="仿宋" w:hAnsi="仿宋"/>
          <w:sz w:val="32"/>
          <w:szCs w:val="24"/>
        </w:rPr>
      </w:pPr>
      <w:r>
        <w:rPr>
          <w:rFonts w:ascii="仿宋" w:eastAsia="仿宋" w:cs="Times New Roman" w:hAnsi="仿宋" w:hint="eastAsia"/>
          <w:sz w:val="32"/>
          <w:szCs w:val="24"/>
        </w:rPr>
        <w:t>（三）将</w:t>
      </w:r>
      <w:r>
        <w:rPr>
          <w:rFonts w:ascii="仿宋" w:eastAsia="仿宋" w:cs="仿宋" w:hAnsi="仿宋" w:hint="eastAsia"/>
          <w:sz w:val="32"/>
          <w:szCs w:val="24"/>
        </w:rPr>
        <w:t>第三条第二款修改为“</w:t>
      </w:r>
      <w:r>
        <w:rPr>
          <w:rFonts w:ascii="仿宋" w:eastAsia="仿宋" w:cs="Times New Roman" w:hAnsi="仿宋" w:hint="eastAsia"/>
          <w:sz w:val="32"/>
          <w:szCs w:val="32"/>
        </w:rPr>
        <w:t>各区、江北</w:t>
      </w:r>
      <w:r>
        <w:rPr>
          <w:rFonts w:ascii="Times New Roman" w:eastAsia="仿宋_GB2312" w:cs="Times New Roman" w:hAnsi="Times New Roman" w:hint="eastAsia"/>
          <w:sz w:val="32"/>
          <w:szCs w:val="32"/>
        </w:rPr>
        <w:t>新区</w:t>
      </w:r>
      <w:r>
        <w:rPr>
          <w:rFonts w:ascii="Times New Roman" w:eastAsia="仿宋_GB2312" w:cs="Times New Roman" w:hAnsi="Times New Roman"/>
          <w:sz w:val="32"/>
          <w:szCs w:val="32"/>
        </w:rPr>
        <w:t>物业管理行政主管部门负责辖区内首次筹备经费管理工作的指导和监管</w:t>
      </w:r>
      <w:r>
        <w:rPr>
          <w:rFonts w:ascii="Times New Roman" w:eastAsia="仿宋_GB2312" w:cs="Times New Roman" w:hAnsi="Times New Roman" w:hint="eastAsia"/>
          <w:sz w:val="32"/>
          <w:szCs w:val="32"/>
        </w:rPr>
        <w:t>。</w:t>
      </w:r>
      <w:r>
        <w:rPr>
          <w:rFonts w:ascii="仿宋" w:eastAsia="仿宋" w:cs="仿宋" w:hAnsi="仿宋" w:hint="eastAsia"/>
          <w:sz w:val="32"/>
          <w:szCs w:val="24"/>
        </w:rPr>
        <w:t>”。</w:t>
      </w:r>
    </w:p>
    <w:p>
      <w:pPr>
        <w:ind w:firstLineChars="200" w:firstLine="640"/>
        <w:rPr>
          <w:rFonts w:ascii="Times New Roman" w:eastAsia="仿宋" w:cs="Times New Roman" w:hAnsi="Times New Roman"/>
          <w:sz w:val="32"/>
          <w:szCs w:val="24"/>
        </w:rPr>
      </w:pPr>
      <w:r>
        <w:rPr>
          <w:rFonts w:ascii="仿宋" w:eastAsia="仿宋" w:cs="仿宋" w:hAnsi="仿宋" w:hint="eastAsia"/>
          <w:sz w:val="32"/>
          <w:szCs w:val="24"/>
        </w:rPr>
        <w:t>（四）将第七条修改为“</w:t>
      </w:r>
      <w:r>
        <w:rPr>
          <w:rFonts w:ascii="Times New Roman" w:eastAsia="仿宋_GB2312" w:cs="Times New Roman" w:hAnsi="Times New Roman" w:hint="eastAsia"/>
          <w:sz w:val="32"/>
          <w:szCs w:val="32"/>
        </w:rPr>
        <w:t>各区、江北新区</w:t>
      </w:r>
      <w:r>
        <w:rPr>
          <w:rFonts w:ascii="Times New Roman" w:eastAsia="仿宋_GB2312" w:cs="Times New Roman" w:hAnsi="Times New Roman"/>
          <w:sz w:val="32"/>
          <w:szCs w:val="32"/>
        </w:rPr>
        <w:t>物业管理行政主管部门在办理前期物业管理招投标备案手续时，</w:t>
      </w:r>
      <w:r>
        <w:rPr>
          <w:rFonts w:ascii="Times New Roman" w:eastAsia="仿宋_GB2312" w:cs="Times New Roman" w:hAnsi="Times New Roman" w:hint="eastAsia"/>
          <w:sz w:val="32"/>
          <w:szCs w:val="32"/>
        </w:rPr>
        <w:t>核查</w:t>
      </w:r>
      <w:r>
        <w:rPr>
          <w:rFonts w:ascii="Times New Roman" w:eastAsia="仿宋_GB2312" w:cs="Times New Roman" w:hAnsi="Times New Roman"/>
          <w:sz w:val="32"/>
          <w:szCs w:val="32"/>
        </w:rPr>
        <w:t>建设单位缴存首次筹备经费的情况。</w:t>
      </w:r>
      <w:r>
        <w:rPr>
          <w:rFonts w:ascii="仿宋" w:eastAsia="仿宋" w:cs="仿宋" w:hAnsi="仿宋" w:hint="eastAsia"/>
          <w:sz w:val="32"/>
          <w:szCs w:val="24"/>
        </w:rPr>
        <w:t>”。</w:t>
      </w:r>
    </w:p>
    <w:p>
      <w:pPr>
        <w:ind w:firstLineChars="200" w:firstLine="640"/>
        <w:rPr>
          <w:rFonts w:ascii="仿宋" w:eastAsia="仿宋" w:cs="Times New Roman" w:hAnsi="仿宋"/>
          <w:sz w:val="32"/>
          <w:szCs w:val="24"/>
        </w:rPr>
      </w:pPr>
      <w:r>
        <w:rPr>
          <w:rFonts w:ascii="Times New Roman" w:eastAsia="仿宋" w:cs="Times New Roman" w:hAnsi="Times New Roman" w:hint="eastAsia"/>
          <w:sz w:val="32"/>
          <w:szCs w:val="24"/>
        </w:rPr>
        <w:t>（五）</w:t>
      </w:r>
      <w:r>
        <w:rPr>
          <w:rFonts w:ascii="仿宋" w:eastAsia="仿宋" w:cs="Times New Roman" w:hAnsi="仿宋" w:hint="eastAsia"/>
          <w:sz w:val="32"/>
          <w:szCs w:val="24"/>
        </w:rPr>
        <w:t>将第十七条修改为“本办法自2017年5月1日起施行，有效期至202</w:t>
      </w:r>
      <w:r>
        <w:rPr>
          <w:rFonts w:ascii="仿宋" w:eastAsia="仿宋" w:cs="Times New Roman" w:hAnsi="仿宋"/>
          <w:sz w:val="32"/>
          <w:szCs w:val="24"/>
        </w:rPr>
        <w:t>8</w:t>
      </w:r>
      <w:r>
        <w:rPr>
          <w:rFonts w:ascii="仿宋" w:eastAsia="仿宋" w:cs="Times New Roman" w:hAnsi="仿宋" w:hint="eastAsia"/>
          <w:sz w:val="32"/>
          <w:szCs w:val="24"/>
        </w:rPr>
        <w:t>年</w:t>
      </w:r>
      <w:r>
        <w:rPr>
          <w:rFonts w:ascii="仿宋" w:eastAsia="仿宋" w:cs="Times New Roman" w:hAnsi="仿宋"/>
          <w:sz w:val="32"/>
          <w:szCs w:val="24"/>
        </w:rPr>
        <w:t>8</w:t>
      </w:r>
      <w:r>
        <w:rPr>
          <w:rFonts w:ascii="仿宋" w:eastAsia="仿宋" w:cs="Times New Roman" w:hAnsi="仿宋" w:hint="eastAsia"/>
          <w:sz w:val="32"/>
          <w:szCs w:val="24"/>
        </w:rPr>
        <w:t>月</w:t>
      </w:r>
      <w:r>
        <w:rPr>
          <w:rFonts w:ascii="仿宋" w:eastAsia="仿宋" w:cs="Times New Roman" w:hAnsi="仿宋"/>
          <w:sz w:val="32"/>
          <w:szCs w:val="24"/>
        </w:rPr>
        <w:t>24</w:t>
      </w:r>
      <w:r>
        <w:rPr>
          <w:rFonts w:ascii="仿宋" w:eastAsia="仿宋" w:cs="Times New Roman" w:hAnsi="仿宋" w:hint="eastAsia"/>
          <w:sz w:val="32"/>
          <w:szCs w:val="24"/>
        </w:rPr>
        <w:t>日止”。</w:t>
      </w:r>
    </w:p>
    <w:p>
      <w:pPr>
        <w:ind w:firstLineChars="200" w:firstLine="640"/>
        <w:rPr>
          <w:rFonts w:ascii="黑体" w:eastAsia="黑体" w:cs="黑体" w:hAnsi="黑体"/>
          <w:sz w:val="32"/>
          <w:szCs w:val="24"/>
        </w:rPr>
      </w:pPr>
      <w:r>
        <w:rPr>
          <w:rFonts w:ascii="黑体" w:eastAsia="黑体" w:cs="黑体" w:hAnsi="黑体" w:hint="eastAsia"/>
          <w:sz w:val="32"/>
          <w:szCs w:val="24"/>
        </w:rPr>
        <w:t>三、对《关于印发〈南京市物业服务企业及项目负责人信用信息管理办法〉的通知》（宁房规字〔2016〕4号）作出修改</w:t>
      </w:r>
    </w:p>
    <w:p>
      <w:pPr>
        <w:ind w:firstLineChars="200" w:firstLine="640"/>
        <w:rPr>
          <w:rFonts w:ascii="仿宋" w:eastAsia="仿宋" w:cs="仿宋" w:hAnsi="仿宋"/>
          <w:sz w:val="32"/>
          <w:szCs w:val="24"/>
        </w:rPr>
      </w:pPr>
      <w:r>
        <w:rPr>
          <w:rFonts w:ascii="仿宋" w:eastAsia="仿宋" w:cs="仿宋" w:hAnsi="仿宋" w:hint="eastAsia"/>
          <w:sz w:val="32"/>
          <w:szCs w:val="24"/>
        </w:rPr>
        <w:t>（一）将标题修改为“《关于印发〈南京市物业服务企业及项目负责人星级信息管理办法〉的通知》”。</w:t>
      </w:r>
    </w:p>
    <w:p>
      <w:pPr>
        <w:ind w:firstLineChars="200" w:firstLine="640"/>
        <w:rPr>
          <w:rFonts w:ascii="仿宋" w:eastAsia="仿宋" w:cs="仿宋" w:hAnsi="仿宋"/>
          <w:sz w:val="32"/>
          <w:szCs w:val="24"/>
        </w:rPr>
      </w:pPr>
      <w:r>
        <w:rPr>
          <w:rFonts w:ascii="仿宋" w:eastAsia="仿宋" w:cs="仿宋" w:hAnsi="仿宋" w:hint="eastAsia"/>
          <w:sz w:val="32"/>
          <w:szCs w:val="24"/>
        </w:rPr>
        <w:t>（二）保留宁房法字〔2020〕259号文相关修改内容。</w:t>
      </w:r>
    </w:p>
    <w:p>
      <w:pPr>
        <w:spacing w:line="640" w:lineRule="exact"/>
        <w:ind w:firstLineChars="196" w:firstLine="627"/>
        <w:rPr>
          <w:rFonts w:ascii="仿宋" w:eastAsia="仿宋" w:cs="仿宋" w:hAnsi="仿宋"/>
          <w:sz w:val="32"/>
          <w:szCs w:val="24"/>
        </w:rPr>
      </w:pPr>
      <w:r>
        <w:rPr>
          <w:rFonts w:ascii="仿宋" w:eastAsia="仿宋" w:cs="仿宋" w:hAnsi="仿宋" w:hint="eastAsia"/>
          <w:sz w:val="32"/>
          <w:szCs w:val="24"/>
        </w:rPr>
        <w:t>（三）将文中所有的“信用”、“征信”和“失信信息”分别修改为“星级”、“星级评价”和“减分信息”。</w:t>
      </w:r>
    </w:p>
    <w:p>
      <w:pPr>
        <w:spacing w:line="640" w:lineRule="exact"/>
        <w:ind w:firstLineChars="196" w:firstLine="627"/>
        <w:rPr>
          <w:rFonts w:ascii="仿宋" w:eastAsia="仿宋" w:cs="仿宋" w:hAnsi="仿宋"/>
          <w:sz w:val="32"/>
          <w:szCs w:val="24"/>
        </w:rPr>
      </w:pPr>
      <w:r>
        <w:rPr>
          <w:rFonts w:ascii="仿宋" w:eastAsia="仿宋" w:cs="仿宋" w:hAnsi="仿宋" w:hint="eastAsia"/>
          <w:sz w:val="32"/>
          <w:szCs w:val="24"/>
        </w:rPr>
        <w:t>（四）删除第二十条、第二十一条，后续条目序号顺次递增。</w:t>
      </w:r>
    </w:p>
    <w:p>
      <w:pPr>
        <w:ind w:firstLineChars="200" w:firstLine="640"/>
        <w:rPr>
          <w:rFonts w:ascii="仿宋" w:eastAsia="仿宋" w:cs="仿宋" w:hAnsi="仿宋"/>
          <w:sz w:val="32"/>
          <w:szCs w:val="24"/>
        </w:rPr>
      </w:pPr>
      <w:r>
        <w:rPr>
          <w:rFonts w:ascii="仿宋" w:eastAsia="仿宋" w:cs="仿宋" w:hAnsi="仿宋" w:hint="eastAsia"/>
          <w:sz w:val="32"/>
          <w:szCs w:val="24"/>
        </w:rPr>
        <w:t>（五）删除第二十三条第一项中“资质等级、”内容。</w:t>
      </w:r>
    </w:p>
    <w:p>
      <w:pPr>
        <w:ind w:firstLineChars="200" w:firstLine="640"/>
        <w:rPr>
          <w:rFonts w:ascii="仿宋" w:eastAsia="仿宋" w:cs="仿宋" w:hAnsi="仿宋"/>
          <w:sz w:val="32"/>
          <w:szCs w:val="24"/>
        </w:rPr>
      </w:pPr>
      <w:r>
        <w:rPr>
          <w:rFonts w:ascii="仿宋" w:eastAsia="仿宋" w:cs="仿宋" w:hAnsi="仿宋" w:hint="eastAsia"/>
          <w:sz w:val="32"/>
          <w:szCs w:val="24"/>
        </w:rPr>
        <w:t>（六）将第三十一条修改为“本办法自2017年3月1日起实施，有效期至202</w:t>
      </w:r>
      <w:r>
        <w:rPr>
          <w:rFonts w:ascii="仿宋" w:eastAsia="仿宋" w:cs="仿宋" w:hAnsi="仿宋"/>
          <w:sz w:val="32"/>
          <w:szCs w:val="24"/>
        </w:rPr>
        <w:t>8</w:t>
      </w:r>
      <w:r>
        <w:rPr>
          <w:rFonts w:ascii="仿宋" w:eastAsia="仿宋" w:cs="仿宋" w:hAnsi="仿宋" w:hint="eastAsia"/>
          <w:sz w:val="32"/>
          <w:szCs w:val="24"/>
        </w:rPr>
        <w:t>年</w:t>
      </w:r>
      <w:r>
        <w:rPr>
          <w:rFonts w:ascii="仿宋" w:eastAsia="仿宋" w:cs="仿宋" w:hAnsi="仿宋"/>
          <w:sz w:val="32"/>
          <w:szCs w:val="24"/>
        </w:rPr>
        <w:t>8</w:t>
      </w:r>
      <w:r>
        <w:rPr>
          <w:rFonts w:ascii="仿宋" w:eastAsia="仿宋" w:cs="仿宋" w:hAnsi="仿宋" w:hint="eastAsia"/>
          <w:sz w:val="32"/>
          <w:szCs w:val="24"/>
        </w:rPr>
        <w:t>月</w:t>
      </w:r>
      <w:r>
        <w:rPr>
          <w:rFonts w:ascii="仿宋" w:eastAsia="仿宋" w:cs="仿宋" w:hAnsi="仿宋"/>
          <w:sz w:val="32"/>
          <w:szCs w:val="24"/>
        </w:rPr>
        <w:t>24</w:t>
      </w:r>
      <w:r>
        <w:rPr>
          <w:rFonts w:ascii="仿宋" w:eastAsia="仿宋" w:cs="仿宋" w:hAnsi="仿宋" w:hint="eastAsia"/>
          <w:sz w:val="32"/>
          <w:szCs w:val="24"/>
        </w:rPr>
        <w:t>日止。原《南京市物业服务企业及从业人员信用信息管理办法》（宁建物字〔2011〕879号）自行废止”。</w:t>
      </w:r>
    </w:p>
    <w:p>
      <w:pPr>
        <w:ind w:firstLineChars="200" w:firstLine="640"/>
        <w:rPr>
          <w:rFonts w:ascii="黑体" w:eastAsia="黑体" w:cs="黑体" w:hAnsi="黑体"/>
          <w:sz w:val="32"/>
          <w:szCs w:val="24"/>
        </w:rPr>
      </w:pPr>
      <w:r>
        <w:rPr>
          <w:rFonts w:ascii="黑体" w:eastAsia="黑体" w:cs="黑体" w:hAnsi="黑体" w:hint="eastAsia"/>
          <w:sz w:val="32"/>
          <w:szCs w:val="24"/>
        </w:rPr>
        <w:t>四、对《关于印发〈南京市房屋白蚁防治单位名录管理办法&gt;的通知》（宁房规字〔2018〕1号）作出修改</w:t>
      </w:r>
    </w:p>
    <w:p>
      <w:pPr>
        <w:ind w:firstLineChars="200" w:firstLine="640"/>
        <w:rPr>
          <w:rFonts w:ascii="仿宋" w:eastAsia="仿宋" w:cs="仿宋" w:hAnsi="仿宋"/>
          <w:sz w:val="32"/>
          <w:szCs w:val="24"/>
        </w:rPr>
      </w:pPr>
      <w:r>
        <w:rPr>
          <w:rFonts w:ascii="仿宋" w:eastAsia="仿宋" w:cs="仿宋" w:hAnsi="仿宋" w:hint="eastAsia"/>
          <w:sz w:val="32"/>
          <w:szCs w:val="24"/>
        </w:rPr>
        <w:t>（一）将文中所有的“市白蚁防治管理处”和“信用”分别修改为“市白蚁防治服务中心”和“星级”。</w:t>
      </w:r>
    </w:p>
    <w:p>
      <w:pPr>
        <w:ind w:firstLineChars="200" w:firstLine="640"/>
        <w:rPr>
          <w:rFonts w:ascii="仿宋" w:eastAsia="仿宋" w:cs="仿宋" w:hAnsi="仿宋"/>
          <w:sz w:val="32"/>
          <w:szCs w:val="24"/>
        </w:rPr>
      </w:pPr>
      <w:r>
        <w:rPr>
          <w:rFonts w:ascii="仿宋" w:eastAsia="仿宋" w:cs="仿宋" w:hAnsi="仿宋" w:hint="eastAsia"/>
          <w:sz w:val="32"/>
          <w:szCs w:val="24"/>
        </w:rPr>
        <w:t>（二）将第五条修改为：</w:t>
      </w:r>
    </w:p>
    <w:p>
      <w:pPr>
        <w:ind w:firstLineChars="200" w:firstLine="640"/>
        <w:rPr>
          <w:rFonts w:ascii="仿宋_GB2312" w:eastAsia="仿宋_GB2312" w:cs="Times New Roman" w:hAnsi="Times New Roman"/>
          <w:sz w:val="32"/>
          <w:szCs w:val="32"/>
        </w:rPr>
      </w:pPr>
      <w:r>
        <w:rPr>
          <w:rFonts w:ascii="仿宋" w:eastAsia="仿宋" w:cs="仿宋" w:hAnsi="仿宋" w:hint="eastAsia"/>
          <w:sz w:val="32"/>
          <w:szCs w:val="24"/>
        </w:rPr>
        <w:t>“</w:t>
      </w:r>
      <w:r>
        <w:rPr>
          <w:rFonts w:ascii="仿宋_GB2312" w:eastAsia="仿宋_GB2312" w:cs="Times New Roman" w:hAnsi="Times New Roman" w:hint="eastAsia"/>
          <w:sz w:val="32"/>
          <w:szCs w:val="32"/>
        </w:rPr>
        <w:t>申报载入名录库的防治单位应当具备下列条件：</w:t>
      </w:r>
    </w:p>
    <w:p>
      <w:pPr>
        <w:ind w:firstLineChars="200" w:firstLine="640"/>
        <w:rPr>
          <w:rFonts w:ascii="仿宋_GB2312" w:eastAsia="仿宋_GB2312" w:cs="Times New Roman" w:hAnsi="Times New Roman"/>
          <w:sz w:val="32"/>
          <w:szCs w:val="32"/>
        </w:rPr>
      </w:pPr>
      <w:r>
        <w:rPr>
          <w:rFonts w:ascii="仿宋_GB2312" w:eastAsia="仿宋_GB2312" w:cs="Times New Roman" w:hAnsi="Times New Roman" w:hint="eastAsia"/>
          <w:sz w:val="32"/>
          <w:szCs w:val="32"/>
        </w:rPr>
        <w:t>（一）具有独立的法人资格、在本市从事房屋白蚁防治业务；</w:t>
      </w:r>
    </w:p>
    <w:p>
      <w:pPr>
        <w:ind w:firstLineChars="200" w:firstLine="640"/>
        <w:rPr>
          <w:rFonts w:ascii="仿宋_GB2312" w:eastAsia="仿宋_GB2312" w:cs="Times New Roman" w:hAnsi="Times New Roman"/>
          <w:sz w:val="32"/>
          <w:szCs w:val="32"/>
        </w:rPr>
      </w:pPr>
      <w:r>
        <w:rPr>
          <w:rFonts w:ascii="仿宋_GB2312" w:eastAsia="仿宋_GB2312" w:cs="Times New Roman" w:hAnsi="Times New Roman" w:hint="eastAsia"/>
          <w:sz w:val="32"/>
          <w:szCs w:val="32"/>
        </w:rPr>
        <w:t>（二）配备国家和省规定的房屋白蚁防治相应的专业技术人员和专业设备；</w:t>
      </w:r>
    </w:p>
    <w:p>
      <w:pPr>
        <w:ind w:firstLineChars="200" w:firstLine="640"/>
        <w:rPr>
          <w:rFonts w:ascii="仿宋_GB2312" w:eastAsia="仿宋_GB2312" w:cs="Times New Roman" w:hAnsi="Times New Roman"/>
          <w:sz w:val="32"/>
          <w:szCs w:val="32"/>
        </w:rPr>
      </w:pPr>
      <w:r>
        <w:rPr>
          <w:rFonts w:ascii="仿宋_GB2312" w:eastAsia="仿宋_GB2312" w:cs="Times New Roman" w:hAnsi="Times New Roman" w:hint="eastAsia"/>
          <w:sz w:val="32"/>
          <w:szCs w:val="32"/>
        </w:rPr>
        <w:t>（三）使用国家规定的药物，并按照规定程序进行房屋白蚁防治；</w:t>
      </w:r>
    </w:p>
    <w:p>
      <w:pPr>
        <w:ind w:firstLineChars="200" w:firstLine="640"/>
        <w:rPr>
          <w:rFonts w:ascii="仿宋" w:eastAsia="仿宋" w:cs="仿宋" w:hAnsi="仿宋"/>
          <w:sz w:val="32"/>
          <w:szCs w:val="24"/>
        </w:rPr>
      </w:pPr>
      <w:r>
        <w:rPr>
          <w:rFonts w:ascii="仿宋_GB2312" w:eastAsia="仿宋_GB2312" w:cs="Times New Roman" w:hAnsi="Times New Roman" w:hint="eastAsia"/>
          <w:sz w:val="32"/>
          <w:szCs w:val="32"/>
        </w:rPr>
        <w:t>（四）近三年内在经营活动中没有违法记录，或被行政监督部门处理期限已满。</w:t>
      </w:r>
      <w:r>
        <w:rPr>
          <w:rFonts w:ascii="仿宋" w:eastAsia="仿宋" w:cs="仿宋" w:hAnsi="仿宋" w:hint="eastAsia"/>
          <w:sz w:val="32"/>
          <w:szCs w:val="24"/>
        </w:rPr>
        <w:t>”。</w:t>
      </w:r>
    </w:p>
    <w:p>
      <w:pPr>
        <w:ind w:firstLineChars="200" w:firstLine="640"/>
        <w:rPr>
          <w:rFonts w:ascii="仿宋" w:eastAsia="仿宋" w:cs="仿宋" w:hAnsi="仿宋"/>
          <w:sz w:val="32"/>
          <w:szCs w:val="24"/>
        </w:rPr>
      </w:pPr>
      <w:r>
        <w:rPr>
          <w:rFonts w:ascii="仿宋" w:eastAsia="仿宋" w:cs="仿宋" w:hAnsi="仿宋" w:hint="eastAsia"/>
          <w:sz w:val="32"/>
          <w:szCs w:val="24"/>
        </w:rPr>
        <w:t>（三）将第十九条修改为“</w:t>
      </w:r>
      <w:r>
        <w:rPr>
          <w:rFonts w:ascii="仿宋_GB2312" w:eastAsia="仿宋_GB2312" w:cs="Times New Roman" w:hAnsi="Times New Roman" w:hint="eastAsia"/>
          <w:sz w:val="32"/>
          <w:szCs w:val="32"/>
        </w:rPr>
        <w:t>本办法自</w:t>
      </w:r>
      <w:r>
        <w:rPr>
          <w:rFonts w:ascii="仿宋_GB2312" w:eastAsia="仿宋_GB2312" w:cs="Times New Roman" w:hAnsi="Times New Roman"/>
          <w:sz w:val="32"/>
          <w:szCs w:val="32"/>
        </w:rPr>
        <w:t>2019</w:t>
      </w:r>
      <w:r>
        <w:rPr>
          <w:rFonts w:ascii="仿宋_GB2312" w:eastAsia="仿宋_GB2312" w:cs="Times New Roman" w:hAnsi="Times New Roman" w:hint="eastAsia"/>
          <w:sz w:val="32"/>
          <w:szCs w:val="32"/>
        </w:rPr>
        <w:t>年</w:t>
      </w:r>
      <w:r>
        <w:rPr>
          <w:rFonts w:ascii="仿宋_GB2312" w:eastAsia="仿宋_GB2312" w:cs="Times New Roman" w:hAnsi="Times New Roman"/>
          <w:sz w:val="32"/>
          <w:szCs w:val="32"/>
        </w:rPr>
        <w:t>1</w:t>
      </w:r>
      <w:r>
        <w:rPr>
          <w:rFonts w:ascii="仿宋_GB2312" w:eastAsia="仿宋_GB2312" w:cs="Times New Roman" w:hAnsi="Times New Roman" w:hint="eastAsia"/>
          <w:sz w:val="32"/>
          <w:szCs w:val="32"/>
        </w:rPr>
        <w:t>月</w:t>
      </w:r>
      <w:r>
        <w:rPr>
          <w:rFonts w:ascii="仿宋_GB2312" w:eastAsia="仿宋_GB2312" w:cs="Times New Roman" w:hAnsi="Times New Roman"/>
          <w:sz w:val="32"/>
          <w:szCs w:val="32"/>
        </w:rPr>
        <w:t>1</w:t>
      </w:r>
      <w:r>
        <w:rPr>
          <w:rFonts w:ascii="仿宋_GB2312" w:eastAsia="仿宋_GB2312" w:cs="Times New Roman" w:hAnsi="Times New Roman" w:hint="eastAsia"/>
          <w:sz w:val="32"/>
          <w:szCs w:val="32"/>
        </w:rPr>
        <w:t>日起施行，有效期至202</w:t>
      </w:r>
      <w:r>
        <w:rPr>
          <w:rFonts w:ascii="仿宋_GB2312" w:eastAsia="仿宋_GB2312" w:cs="Times New Roman" w:hAnsi="Times New Roman"/>
          <w:sz w:val="32"/>
          <w:szCs w:val="32"/>
        </w:rPr>
        <w:t>8</w:t>
      </w:r>
      <w:r>
        <w:rPr>
          <w:rFonts w:ascii="仿宋_GB2312" w:eastAsia="仿宋_GB2312" w:cs="Times New Roman" w:hAnsi="Times New Roman" w:hint="eastAsia"/>
          <w:sz w:val="32"/>
          <w:szCs w:val="32"/>
        </w:rPr>
        <w:t>年</w:t>
      </w:r>
      <w:r>
        <w:rPr>
          <w:rFonts w:ascii="仿宋_GB2312" w:eastAsia="仿宋_GB2312" w:cs="Times New Roman" w:hAnsi="Times New Roman"/>
          <w:sz w:val="32"/>
          <w:szCs w:val="32"/>
        </w:rPr>
        <w:t>8</w:t>
      </w:r>
      <w:r>
        <w:rPr>
          <w:rFonts w:ascii="仿宋_GB2312" w:eastAsia="仿宋_GB2312" w:cs="Times New Roman" w:hAnsi="Times New Roman" w:hint="eastAsia"/>
          <w:sz w:val="32"/>
          <w:szCs w:val="32"/>
        </w:rPr>
        <w:t>月</w:t>
      </w:r>
      <w:r>
        <w:rPr>
          <w:rFonts w:ascii="仿宋_GB2312" w:eastAsia="仿宋_GB2312" w:cs="Times New Roman" w:hAnsi="Times New Roman"/>
          <w:sz w:val="32"/>
          <w:szCs w:val="32"/>
        </w:rPr>
        <w:t>24</w:t>
      </w:r>
      <w:r>
        <w:rPr>
          <w:rFonts w:ascii="仿宋_GB2312" w:eastAsia="仿宋_GB2312" w:cs="Times New Roman" w:hAnsi="Times New Roman" w:hint="eastAsia"/>
          <w:sz w:val="32"/>
          <w:szCs w:val="32"/>
        </w:rPr>
        <w:t>日止。</w:t>
      </w:r>
      <w:r>
        <w:rPr>
          <w:rFonts w:ascii="仿宋" w:eastAsia="仿宋" w:cs="仿宋" w:hAnsi="仿宋" w:hint="eastAsia"/>
          <w:sz w:val="32"/>
          <w:szCs w:val="24"/>
        </w:rPr>
        <w:t>”</w:t>
      </w:r>
    </w:p>
    <w:p>
      <w:pPr>
        <w:ind w:firstLineChars="200" w:firstLine="640"/>
        <w:rPr>
          <w:rFonts w:ascii="黑体" w:eastAsia="黑体" w:cs="黑体" w:hAnsi="黑体"/>
          <w:sz w:val="32"/>
          <w:szCs w:val="24"/>
        </w:rPr>
      </w:pPr>
      <w:r>
        <w:rPr>
          <w:rFonts w:ascii="黑体" w:eastAsia="黑体" w:cs="黑体" w:hAnsi="黑体" w:hint="eastAsia"/>
          <w:sz w:val="32"/>
          <w:szCs w:val="24"/>
        </w:rPr>
        <w:t>五、对《关于印发〈南京市房屋白蚁防治企业信用管理办法〉的通知》（宁房规字〔2018〕2号）作出修改</w:t>
      </w:r>
    </w:p>
    <w:p>
      <w:pPr>
        <w:ind w:firstLineChars="200" w:firstLine="640"/>
        <w:rPr>
          <w:rFonts w:ascii="仿宋" w:eastAsia="仿宋" w:cs="仿宋" w:hAnsi="仿宋"/>
          <w:sz w:val="32"/>
          <w:szCs w:val="24"/>
        </w:rPr>
      </w:pPr>
      <w:r>
        <w:rPr>
          <w:rFonts w:ascii="仿宋" w:eastAsia="仿宋" w:cs="仿宋" w:hAnsi="仿宋" w:hint="eastAsia"/>
          <w:sz w:val="32"/>
          <w:szCs w:val="24"/>
        </w:rPr>
        <w:t>（一）将标题修改为“《关于印发〈南京市房屋白蚁防治企业星级管理办法〉的通知》”。</w:t>
      </w:r>
    </w:p>
    <w:p>
      <w:pPr>
        <w:spacing w:line="640" w:lineRule="exact"/>
        <w:ind w:firstLineChars="196" w:firstLine="627"/>
        <w:rPr>
          <w:rFonts w:ascii="仿宋" w:eastAsia="仿宋" w:cs="仿宋" w:hAnsi="仿宋"/>
          <w:sz w:val="32"/>
          <w:szCs w:val="24"/>
        </w:rPr>
      </w:pPr>
      <w:r>
        <w:rPr>
          <w:rFonts w:ascii="仿宋" w:eastAsia="仿宋" w:cs="仿宋" w:hAnsi="仿宋" w:hint="eastAsia"/>
          <w:sz w:val="32"/>
          <w:szCs w:val="24"/>
        </w:rPr>
        <w:t>（二）将文中所有的“市白蚁防治管理处”和“信用”分别修改为“市白蚁防治服务中心”和“星级”。</w:t>
      </w:r>
    </w:p>
    <w:p>
      <w:pPr>
        <w:spacing w:line="640" w:lineRule="exact"/>
        <w:ind w:firstLineChars="196" w:firstLine="627"/>
        <w:rPr>
          <w:rFonts w:ascii="仿宋" w:eastAsia="仿宋" w:cs="仿宋" w:hAnsi="仿宋"/>
          <w:sz w:val="32"/>
          <w:szCs w:val="24"/>
        </w:rPr>
      </w:pPr>
      <w:r>
        <w:rPr>
          <w:rFonts w:ascii="仿宋" w:eastAsia="仿宋" w:cs="仿宋" w:hAnsi="仿宋" w:hint="eastAsia"/>
          <w:sz w:val="32"/>
          <w:szCs w:val="24"/>
        </w:rPr>
        <w:t>（三）将第一条修改为“为营造本市房屋白蚁防治企业争先创优的良好氛围，促进房屋白蚁防治行业健康可持续发展，根据《南京市房屋使用安全管理条例》，制定本办法。”。</w:t>
      </w:r>
    </w:p>
    <w:p>
      <w:pPr>
        <w:spacing w:line="640" w:lineRule="exact"/>
        <w:ind w:firstLineChars="196" w:firstLine="627"/>
        <w:rPr>
          <w:rFonts w:ascii="仿宋" w:eastAsia="仿宋" w:cs="仿宋" w:hAnsi="仿宋"/>
          <w:sz w:val="32"/>
          <w:szCs w:val="24"/>
        </w:rPr>
      </w:pPr>
      <w:r>
        <w:rPr>
          <w:rFonts w:ascii="仿宋" w:eastAsia="仿宋" w:cs="仿宋" w:hAnsi="仿宋" w:hint="eastAsia"/>
          <w:sz w:val="32"/>
          <w:szCs w:val="24"/>
        </w:rPr>
        <w:t>（四）将第三条修改为“防治企业星级管理遵循客观公正、标准统一、动态调整的原则。”。</w:t>
      </w:r>
    </w:p>
    <w:p>
      <w:pPr>
        <w:spacing w:line="640" w:lineRule="exact"/>
        <w:ind w:firstLineChars="196" w:firstLine="627"/>
        <w:rPr>
          <w:rFonts w:ascii="仿宋" w:eastAsia="仿宋" w:cs="仿宋" w:hAnsi="仿宋"/>
          <w:sz w:val="32"/>
          <w:szCs w:val="24"/>
        </w:rPr>
      </w:pPr>
      <w:r>
        <w:rPr>
          <w:rFonts w:ascii="仿宋" w:eastAsia="仿宋" w:cs="仿宋" w:hAnsi="仿宋" w:hint="eastAsia"/>
          <w:sz w:val="32"/>
          <w:szCs w:val="24"/>
        </w:rPr>
        <w:t>（五）将第十条修改为“防治企业星级评价采取累积扣分定级和规定情形直接定级两种方式。</w:t>
      </w:r>
    </w:p>
    <w:p>
      <w:pPr>
        <w:spacing w:line="640" w:lineRule="exact"/>
        <w:ind w:firstLineChars="196" w:firstLine="627"/>
        <w:rPr>
          <w:rFonts w:ascii="仿宋" w:eastAsia="仿宋" w:cs="仿宋" w:hAnsi="仿宋"/>
          <w:sz w:val="32"/>
          <w:szCs w:val="24"/>
        </w:rPr>
      </w:pPr>
      <w:r>
        <w:rPr>
          <w:rFonts w:ascii="仿宋" w:eastAsia="仿宋" w:cs="仿宋" w:hAnsi="仿宋" w:hint="eastAsia"/>
          <w:sz w:val="32"/>
          <w:szCs w:val="24"/>
        </w:rPr>
        <w:t>累积扣分定级方式以年度为周期，初始分值为100，按信用计分指标扣分，全年累积定级。分值越高，星级等级越高。</w:t>
      </w:r>
    </w:p>
    <w:p>
      <w:pPr>
        <w:spacing w:line="640" w:lineRule="exact"/>
        <w:ind w:firstLineChars="196" w:firstLine="627"/>
        <w:rPr>
          <w:rFonts w:ascii="仿宋" w:eastAsia="仿宋" w:cs="仿宋" w:hAnsi="仿宋"/>
          <w:sz w:val="32"/>
          <w:szCs w:val="24"/>
        </w:rPr>
      </w:pPr>
      <w:r>
        <w:rPr>
          <w:rFonts w:ascii="仿宋" w:eastAsia="仿宋" w:cs="仿宋" w:hAnsi="仿宋" w:hint="eastAsia"/>
          <w:sz w:val="32"/>
          <w:szCs w:val="24"/>
        </w:rPr>
        <w:t>规定情形直接定级适用于有严重减分行为的防治企业。</w:t>
      </w:r>
    </w:p>
    <w:p>
      <w:pPr>
        <w:spacing w:line="640" w:lineRule="exact"/>
        <w:ind w:firstLineChars="196" w:firstLine="627"/>
        <w:rPr>
          <w:rFonts w:ascii="仿宋" w:eastAsia="仿宋" w:cs="仿宋" w:hAnsi="仿宋"/>
          <w:sz w:val="32"/>
          <w:szCs w:val="24"/>
        </w:rPr>
      </w:pPr>
      <w:r>
        <w:rPr>
          <w:rFonts w:ascii="仿宋" w:eastAsia="仿宋" w:cs="仿宋" w:hAnsi="仿宋" w:hint="eastAsia"/>
          <w:sz w:val="32"/>
          <w:szCs w:val="24"/>
        </w:rPr>
        <w:t>防治企业星级计分指标由市白蚁防治服务中心另行制定。”。</w:t>
      </w:r>
    </w:p>
    <w:p>
      <w:pPr>
        <w:ind w:firstLineChars="200" w:firstLine="640"/>
        <w:rPr>
          <w:rFonts w:ascii="仿宋" w:eastAsia="仿宋" w:cs="仿宋" w:hAnsi="仿宋"/>
          <w:sz w:val="32"/>
          <w:szCs w:val="24"/>
        </w:rPr>
      </w:pPr>
      <w:r>
        <w:rPr>
          <w:rFonts w:ascii="仿宋" w:eastAsia="仿宋" w:cs="仿宋" w:hAnsi="仿宋" w:hint="eastAsia"/>
          <w:sz w:val="32"/>
          <w:szCs w:val="24"/>
        </w:rPr>
        <w:t>（六）将第十四条第（五）项修改为“</w:t>
      </w:r>
      <w:r>
        <w:rPr>
          <w:rFonts w:ascii="仿宋_GB2312" w:eastAsia="仿宋_GB2312" w:cs="Times New Roman" w:hAnsi="Times New Roman" w:hint="eastAsia"/>
          <w:sz w:val="32"/>
          <w:szCs w:val="32"/>
        </w:rPr>
        <w:t>存在严重失信情形的</w:t>
      </w:r>
      <w:r>
        <w:rPr>
          <w:rFonts w:ascii="仿宋" w:eastAsia="仿宋" w:cs="仿宋" w:hAnsi="仿宋" w:hint="eastAsia"/>
          <w:sz w:val="32"/>
          <w:szCs w:val="24"/>
        </w:rPr>
        <w:t>”。</w:t>
      </w:r>
    </w:p>
    <w:p>
      <w:pPr>
        <w:ind w:firstLineChars="200" w:firstLine="640"/>
        <w:rPr>
          <w:rFonts w:ascii="仿宋" w:eastAsia="仿宋" w:cs="仿宋" w:hAnsi="仿宋"/>
          <w:sz w:val="32"/>
          <w:szCs w:val="24"/>
        </w:rPr>
      </w:pPr>
      <w:r>
        <w:rPr>
          <w:rFonts w:ascii="仿宋" w:eastAsia="仿宋" w:cs="仿宋" w:hAnsi="仿宋" w:hint="eastAsia"/>
          <w:sz w:val="32"/>
          <w:szCs w:val="24"/>
        </w:rPr>
        <w:t>（七）删除第二十条、第二十一条，后续条目序号顺次递增。</w:t>
      </w:r>
    </w:p>
    <w:p>
      <w:pPr>
        <w:ind w:firstLineChars="200" w:firstLine="640"/>
        <w:rPr>
          <w:rFonts w:ascii="仿宋" w:eastAsia="仿宋" w:cs="仿宋" w:hAnsi="仿宋"/>
          <w:sz w:val="32"/>
          <w:szCs w:val="24"/>
        </w:rPr>
      </w:pPr>
      <w:r>
        <w:rPr>
          <w:rFonts w:ascii="仿宋" w:eastAsia="仿宋" w:cs="仿宋" w:hAnsi="仿宋" w:hint="eastAsia"/>
          <w:sz w:val="32"/>
          <w:szCs w:val="24"/>
        </w:rPr>
        <w:t>（八）将第二十二条修改为“</w:t>
      </w:r>
      <w:r>
        <w:rPr>
          <w:rFonts w:ascii="仿宋_GB2312" w:eastAsia="仿宋_GB2312" w:cs="Times New Roman" w:hAnsi="Times New Roman" w:hint="eastAsia"/>
          <w:sz w:val="32"/>
          <w:szCs w:val="32"/>
        </w:rPr>
        <w:t>本办法自</w:t>
      </w:r>
      <w:r>
        <w:rPr>
          <w:rFonts w:ascii="仿宋_GB2312" w:eastAsia="仿宋_GB2312" w:cs="Times New Roman" w:hAnsi="Times New Roman"/>
          <w:sz w:val="32"/>
          <w:szCs w:val="32"/>
        </w:rPr>
        <w:t>2019</w:t>
      </w:r>
      <w:r>
        <w:rPr>
          <w:rFonts w:ascii="仿宋_GB2312" w:eastAsia="仿宋_GB2312" w:cs="Times New Roman" w:hAnsi="Times New Roman" w:hint="eastAsia"/>
          <w:sz w:val="32"/>
          <w:szCs w:val="32"/>
        </w:rPr>
        <w:t>年</w:t>
      </w:r>
      <w:r>
        <w:rPr>
          <w:rFonts w:ascii="仿宋_GB2312" w:eastAsia="仿宋_GB2312" w:cs="Times New Roman" w:hAnsi="Times New Roman"/>
          <w:sz w:val="32"/>
          <w:szCs w:val="32"/>
        </w:rPr>
        <w:t>1</w:t>
      </w:r>
      <w:r>
        <w:rPr>
          <w:rFonts w:ascii="仿宋_GB2312" w:eastAsia="仿宋_GB2312" w:cs="Times New Roman" w:hAnsi="Times New Roman" w:hint="eastAsia"/>
          <w:sz w:val="32"/>
          <w:szCs w:val="32"/>
        </w:rPr>
        <w:t>月</w:t>
      </w:r>
      <w:r>
        <w:rPr>
          <w:rFonts w:ascii="仿宋_GB2312" w:eastAsia="仿宋_GB2312" w:cs="Times New Roman" w:hAnsi="Times New Roman"/>
          <w:sz w:val="32"/>
          <w:szCs w:val="32"/>
        </w:rPr>
        <w:t>1</w:t>
      </w:r>
      <w:r>
        <w:rPr>
          <w:rFonts w:ascii="仿宋_GB2312" w:eastAsia="仿宋_GB2312" w:cs="Times New Roman" w:hAnsi="Times New Roman" w:hint="eastAsia"/>
          <w:sz w:val="32"/>
          <w:szCs w:val="32"/>
        </w:rPr>
        <w:t>日起施行，有效期至202</w:t>
      </w:r>
      <w:r>
        <w:rPr>
          <w:rFonts w:ascii="仿宋_GB2312" w:eastAsia="仿宋_GB2312" w:cs="Times New Roman" w:hAnsi="Times New Roman"/>
          <w:sz w:val="32"/>
          <w:szCs w:val="32"/>
        </w:rPr>
        <w:t>8</w:t>
      </w:r>
      <w:r>
        <w:rPr>
          <w:rFonts w:ascii="仿宋_GB2312" w:eastAsia="仿宋_GB2312" w:cs="Times New Roman" w:hAnsi="Times New Roman" w:hint="eastAsia"/>
          <w:sz w:val="32"/>
          <w:szCs w:val="32"/>
        </w:rPr>
        <w:t>年</w:t>
      </w:r>
      <w:r>
        <w:rPr>
          <w:rFonts w:ascii="仿宋_GB2312" w:eastAsia="仿宋_GB2312" w:cs="Times New Roman" w:hAnsi="Times New Roman"/>
          <w:sz w:val="32"/>
          <w:szCs w:val="32"/>
        </w:rPr>
        <w:t>8</w:t>
      </w:r>
      <w:r>
        <w:rPr>
          <w:rFonts w:ascii="仿宋_GB2312" w:eastAsia="仿宋_GB2312" w:cs="Times New Roman" w:hAnsi="Times New Roman" w:hint="eastAsia"/>
          <w:sz w:val="32"/>
          <w:szCs w:val="32"/>
        </w:rPr>
        <w:t>月</w:t>
      </w:r>
      <w:r>
        <w:rPr>
          <w:rFonts w:ascii="仿宋_GB2312" w:eastAsia="仿宋_GB2312" w:cs="Times New Roman" w:hAnsi="Times New Roman"/>
          <w:sz w:val="32"/>
          <w:szCs w:val="32"/>
        </w:rPr>
        <w:t>24</w:t>
      </w:r>
      <w:r>
        <w:rPr>
          <w:rFonts w:ascii="仿宋_GB2312" w:eastAsia="仿宋_GB2312" w:cs="Times New Roman" w:hAnsi="Times New Roman" w:hint="eastAsia"/>
          <w:sz w:val="32"/>
          <w:szCs w:val="32"/>
        </w:rPr>
        <w:t>日止。</w:t>
      </w:r>
      <w:r>
        <w:rPr>
          <w:rFonts w:ascii="仿宋" w:eastAsia="仿宋" w:cs="仿宋" w:hAnsi="仿宋" w:hint="eastAsia"/>
          <w:sz w:val="32"/>
          <w:szCs w:val="24"/>
        </w:rPr>
        <w:t>”。</w:t>
      </w:r>
    </w:p>
    <w:p>
      <w:pPr>
        <w:ind w:firstLineChars="200" w:firstLine="640"/>
        <w:rPr>
          <w:rFonts w:ascii="黑体" w:eastAsia="黑体" w:cs="黑体" w:hAnsi="黑体"/>
          <w:sz w:val="32"/>
          <w:szCs w:val="24"/>
        </w:rPr>
      </w:pPr>
      <w:r>
        <w:rPr>
          <w:rFonts w:ascii="黑体" w:eastAsia="黑体" w:cs="黑体" w:hAnsi="黑体" w:hint="eastAsia"/>
          <w:sz w:val="32"/>
          <w:szCs w:val="24"/>
        </w:rPr>
        <w:t>六、对《关于印发〈南京市房屋安全鉴定单位管理办法〉的通知》（宁房规字〔2018〕3号）作出修改</w:t>
      </w:r>
    </w:p>
    <w:p>
      <w:pPr>
        <w:spacing w:line="640" w:lineRule="exact"/>
        <w:ind w:firstLineChars="196" w:firstLine="627"/>
        <w:rPr>
          <w:rFonts w:ascii="仿宋" w:eastAsia="仿宋" w:cs="仿宋" w:hAnsi="仿宋"/>
          <w:sz w:val="32"/>
          <w:szCs w:val="24"/>
        </w:rPr>
      </w:pPr>
      <w:r>
        <w:rPr>
          <w:rFonts w:ascii="仿宋" w:eastAsia="仿宋" w:cs="仿宋" w:hAnsi="仿宋" w:hint="eastAsia"/>
          <w:sz w:val="32"/>
          <w:szCs w:val="24"/>
        </w:rPr>
        <w:t>（一）将文中所有的“信用”修改为“星级”。</w:t>
      </w:r>
    </w:p>
    <w:p>
      <w:pPr>
        <w:spacing w:line="640" w:lineRule="exact"/>
        <w:ind w:firstLineChars="196" w:firstLine="627"/>
        <w:rPr>
          <w:rFonts w:ascii="仿宋" w:eastAsia="仿宋" w:cs="仿宋" w:hAnsi="仿宋"/>
          <w:sz w:val="32"/>
          <w:szCs w:val="24"/>
        </w:rPr>
      </w:pPr>
      <w:r>
        <w:rPr>
          <w:rFonts w:ascii="仿宋" w:eastAsia="仿宋" w:cs="仿宋" w:hAnsi="仿宋" w:hint="eastAsia"/>
          <w:sz w:val="32"/>
          <w:szCs w:val="24"/>
        </w:rPr>
        <w:t>（二）将第四条修改为“</w:t>
      </w:r>
      <w:r>
        <w:rPr>
          <w:rFonts w:ascii="仿宋_GB2312" w:eastAsia="仿宋_GB2312" w:cs="仿宋_GB2312" w:hAnsi="仿宋_GB2312" w:hint="eastAsia"/>
          <w:sz w:val="32"/>
          <w:szCs w:val="32"/>
        </w:rPr>
        <w:t>市房屋安全行政主管部门负责全市房屋安全鉴定监督管理，建立房屋使用安全信息管理平台和鉴定单位名录库等。日常工作由南京市房屋安全服务中心实施。</w:t>
      </w:r>
      <w:r>
        <w:rPr>
          <w:rFonts w:ascii="仿宋" w:eastAsia="仿宋" w:cs="仿宋" w:hAnsi="仿宋" w:hint="eastAsia"/>
          <w:sz w:val="32"/>
          <w:szCs w:val="24"/>
        </w:rPr>
        <w:t>”。</w:t>
      </w:r>
    </w:p>
    <w:p>
      <w:pPr>
        <w:snapToGrid w:val="0"/>
        <w:spacing w:line="560" w:lineRule="exact"/>
        <w:ind w:firstLineChars="200" w:firstLine="640"/>
        <w:rPr>
          <w:rFonts w:ascii="仿宋" w:eastAsia="仿宋" w:cs="仿宋" w:hAnsi="仿宋"/>
          <w:sz w:val="32"/>
          <w:szCs w:val="24"/>
        </w:rPr>
      </w:pPr>
      <w:r>
        <w:rPr>
          <w:rFonts w:ascii="仿宋" w:eastAsia="仿宋" w:cs="仿宋" w:hAnsi="仿宋" w:hint="eastAsia"/>
          <w:sz w:val="32"/>
          <w:szCs w:val="24"/>
        </w:rPr>
        <w:t>（三）将第十五条修改为：</w:t>
      </w:r>
    </w:p>
    <w:p>
      <w:pPr>
        <w:snapToGrid w:val="0"/>
        <w:spacing w:line="560" w:lineRule="exact"/>
        <w:ind w:firstLineChars="200" w:firstLine="640"/>
        <w:rPr>
          <w:rFonts w:ascii="仿宋" w:eastAsia="仿宋" w:cs="仿宋" w:hAnsi="仿宋"/>
          <w:sz w:val="32"/>
          <w:szCs w:val="24"/>
        </w:rPr>
      </w:pPr>
      <w:r>
        <w:rPr>
          <w:rFonts w:ascii="仿宋" w:eastAsia="仿宋" w:cs="仿宋" w:hAnsi="仿宋" w:hint="eastAsia"/>
          <w:sz w:val="32"/>
          <w:szCs w:val="24"/>
        </w:rPr>
        <w:t>“</w:t>
      </w:r>
      <w:r>
        <w:rPr>
          <w:rFonts w:ascii="仿宋_GB2312" w:eastAsia="仿宋_GB2312" w:cs="仿宋_GB2312" w:hAnsi="仿宋_GB2312" w:hint="eastAsia"/>
          <w:sz w:val="32"/>
          <w:szCs w:val="32"/>
        </w:rPr>
        <w:t>房屋安全鉴定星级信息由以下三部分组成：</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（一）基本信息是指登记、核准和备案等事项的信息，包括企业名称、资质情况、质量体系和管理制度、人员和设备情况等；</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（二）加分信息是指受到房屋安全行政主管部门奖励和表彰，取得的对行业科技进步产生重要影响的创新成果，以及履行社会责任等方面的信息；</w:t>
      </w:r>
    </w:p>
    <w:p>
      <w:pPr>
        <w:ind w:firstLineChars="200" w:firstLine="640"/>
        <w:rPr>
          <w:rFonts w:ascii="仿宋" w:eastAsia="仿宋" w:cs="仿宋" w:hAnsi="仿宋"/>
          <w:sz w:val="32"/>
          <w:szCs w:val="24"/>
        </w:rPr>
      </w:pPr>
      <w:r>
        <w:rPr>
          <w:rFonts w:ascii="仿宋_GB2312" w:eastAsia="仿宋_GB2312" w:cs="仿宋_GB2312" w:hAnsi="仿宋_GB2312" w:hint="eastAsia"/>
          <w:sz w:val="32"/>
          <w:szCs w:val="32"/>
        </w:rPr>
        <w:t>（三）减分信息是指在本市行政区域从事房屋安全鉴定工作中违反相关法律、法规、规章、规范性文件、强制性标准和合同的信息。</w:t>
      </w:r>
      <w:r>
        <w:rPr>
          <w:rFonts w:ascii="仿宋" w:eastAsia="仿宋" w:cs="仿宋" w:hAnsi="仿宋" w:hint="eastAsia"/>
          <w:sz w:val="32"/>
          <w:szCs w:val="24"/>
        </w:rPr>
        <w:t>”。</w:t>
      </w:r>
    </w:p>
    <w:p>
      <w:pPr>
        <w:ind w:firstLineChars="200" w:firstLine="640"/>
        <w:rPr>
          <w:rFonts w:ascii="仿宋" w:eastAsia="仿宋" w:cs="仿宋" w:hAnsi="仿宋"/>
          <w:sz w:val="32"/>
          <w:szCs w:val="24"/>
        </w:rPr>
      </w:pPr>
      <w:r>
        <w:rPr>
          <w:rFonts w:ascii="仿宋" w:eastAsia="仿宋" w:cs="仿宋" w:hAnsi="仿宋" w:hint="eastAsia"/>
          <w:sz w:val="32"/>
          <w:szCs w:val="24"/>
        </w:rPr>
        <w:t>（四）将第十七条修改为“</w:t>
      </w:r>
      <w:r>
        <w:rPr>
          <w:rFonts w:ascii="仿宋_GB2312" w:eastAsia="仿宋_GB2312" w:cs="仿宋_GB2312" w:hAnsi="仿宋_GB2312" w:hint="eastAsia"/>
          <w:sz w:val="32"/>
          <w:szCs w:val="32"/>
        </w:rPr>
        <w:t>房屋安全鉴定星级评价总分为100分，95分（含）以上的评为A级，95分至85分（含）的评为B级，85分至75分（含）的评为C级，75分以下的评为D级。</w:t>
      </w:r>
      <w:r>
        <w:rPr>
          <w:rFonts w:ascii="仿宋" w:eastAsia="仿宋" w:cs="仿宋" w:hAnsi="仿宋" w:hint="eastAsia"/>
          <w:sz w:val="32"/>
          <w:szCs w:val="24"/>
        </w:rPr>
        <w:t>”。</w:t>
      </w:r>
    </w:p>
    <w:p>
      <w:pPr>
        <w:snapToGrid w:val="0"/>
        <w:spacing w:line="560" w:lineRule="exact"/>
        <w:ind w:firstLineChars="200" w:firstLine="640"/>
        <w:rPr>
          <w:rFonts w:ascii="仿宋" w:eastAsia="仿宋" w:cs="仿宋" w:hAnsi="仿宋"/>
          <w:sz w:val="32"/>
          <w:szCs w:val="24"/>
        </w:rPr>
      </w:pPr>
      <w:r>
        <w:rPr>
          <w:rFonts w:ascii="仿宋" w:eastAsia="仿宋" w:cs="仿宋" w:hAnsi="仿宋" w:hint="eastAsia"/>
          <w:sz w:val="32"/>
          <w:szCs w:val="24"/>
        </w:rPr>
        <w:t>（五）将第十九条修改为：</w:t>
      </w:r>
    </w:p>
    <w:p>
      <w:pPr>
        <w:snapToGrid w:val="0"/>
        <w:spacing w:line="560" w:lineRule="exact"/>
        <w:ind w:firstLineChars="200" w:firstLine="640"/>
        <w:rPr>
          <w:rFonts w:ascii="仿宋_GB2312" w:eastAsia="仿宋_GB2312" w:cs="仿宋_GB2312" w:hAnsi="仿宋_GB2312"/>
          <w:sz w:val="32"/>
          <w:szCs w:val="32"/>
        </w:rPr>
      </w:pPr>
      <w:r>
        <w:rPr>
          <w:rFonts w:ascii="仿宋" w:eastAsia="仿宋" w:cs="仿宋" w:hAnsi="仿宋" w:hint="eastAsia"/>
          <w:sz w:val="32"/>
          <w:szCs w:val="24"/>
        </w:rPr>
        <w:t>“</w:t>
      </w:r>
      <w:r>
        <w:rPr>
          <w:rFonts w:ascii="仿宋_GB2312" w:eastAsia="仿宋_GB2312" w:cs="仿宋_GB2312" w:hAnsi="仿宋_GB2312" w:hint="eastAsia"/>
          <w:sz w:val="32"/>
          <w:szCs w:val="32"/>
        </w:rPr>
        <w:t>房屋安全鉴定单位存在以下严重减分情形之一的，将其从房屋安全鉴定单位名录库中予以删除，两年之内不再录入名录库：</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（一）申请备案时提交虚假材料，隐瞒真实情况的；</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（二）出具虚假鉴定报告的；</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（三）因鉴定工作失误或错误，造成特别重大、重大或较大事故的；</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（四）连续两年房屋安全鉴定星级等级评为D级的；</w:t>
      </w:r>
    </w:p>
    <w:p>
      <w:pPr>
        <w:ind w:firstLineChars="200" w:firstLine="640"/>
        <w:rPr>
          <w:rFonts w:ascii="仿宋" w:eastAsia="仿宋" w:cs="仿宋" w:hAnsi="仿宋"/>
          <w:sz w:val="32"/>
          <w:szCs w:val="24"/>
        </w:rPr>
      </w:pPr>
      <w:r>
        <w:rPr>
          <w:rFonts w:ascii="仿宋_GB2312" w:eastAsia="仿宋_GB2312" w:cs="仿宋_GB2312" w:hAnsi="仿宋_GB2312" w:hint="eastAsia"/>
          <w:sz w:val="32"/>
          <w:szCs w:val="32"/>
        </w:rPr>
        <w:t>（五）存在其他严重违背公开、公平、公正和诚实信用原则行为的。</w:t>
      </w:r>
      <w:r>
        <w:rPr>
          <w:rFonts w:ascii="仿宋" w:eastAsia="仿宋" w:cs="仿宋" w:hAnsi="仿宋" w:hint="eastAsia"/>
          <w:sz w:val="32"/>
          <w:szCs w:val="24"/>
        </w:rPr>
        <w:t>”。</w:t>
      </w:r>
    </w:p>
    <w:p>
      <w:pPr>
        <w:snapToGrid w:val="0"/>
        <w:spacing w:line="560" w:lineRule="exact"/>
        <w:ind w:firstLineChars="200" w:firstLine="640"/>
        <w:rPr>
          <w:rFonts w:ascii="仿宋" w:eastAsia="仿宋" w:cs="仿宋" w:hAnsi="仿宋"/>
          <w:sz w:val="32"/>
          <w:szCs w:val="24"/>
        </w:rPr>
      </w:pPr>
      <w:r>
        <w:rPr>
          <w:rFonts w:ascii="仿宋" w:eastAsia="仿宋" w:cs="仿宋" w:hAnsi="仿宋" w:hint="eastAsia"/>
          <w:sz w:val="32"/>
          <w:szCs w:val="24"/>
        </w:rPr>
        <w:t>（六）将第二十条修改为：</w:t>
      </w:r>
    </w:p>
    <w:p>
      <w:pPr>
        <w:snapToGrid w:val="0"/>
        <w:spacing w:line="560" w:lineRule="exact"/>
        <w:ind w:firstLineChars="200" w:firstLine="640"/>
        <w:rPr>
          <w:rFonts w:ascii="仿宋_GB2312" w:eastAsia="仿宋_GB2312" w:cs="仿宋_GB2312" w:hAnsi="仿宋_GB2312"/>
          <w:sz w:val="32"/>
          <w:szCs w:val="32"/>
        </w:rPr>
      </w:pPr>
      <w:r>
        <w:rPr>
          <w:rFonts w:ascii="仿宋" w:eastAsia="仿宋" w:cs="仿宋" w:hAnsi="仿宋" w:hint="eastAsia"/>
          <w:sz w:val="32"/>
          <w:szCs w:val="24"/>
        </w:rPr>
        <w:t>“</w:t>
      </w:r>
      <w:r>
        <w:rPr>
          <w:rFonts w:ascii="仿宋_GB2312" w:eastAsia="仿宋_GB2312" w:cs="仿宋_GB2312" w:hAnsi="仿宋_GB2312" w:hint="eastAsia"/>
          <w:sz w:val="32"/>
          <w:szCs w:val="32"/>
        </w:rPr>
        <w:t>房屋安全鉴定单位存在以下一般减分情形之一的，责令限期整改，逾期不整改的，将其从房屋安全鉴定单位名录库中予以删除，两年之内不再录入名录库：</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（一）未按照技术规范要求出具鉴定报告的；</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（二）因鉴定工作失误或错误，造成一般事故的；</w:t>
      </w:r>
    </w:p>
    <w:p>
      <w:pPr>
        <w:snapToGrid w:val="0"/>
        <w:spacing w:line="560" w:lineRule="exact"/>
        <w:ind w:firstLineChars="200" w:firstLine="640"/>
        <w:rPr>
          <w:rFonts w:ascii="仿宋_GB2312" w:eastAsia="仿宋_GB2312" w:cs="仿宋_GB2312" w:hAnsi="仿宋_GB2312"/>
          <w:sz w:val="32"/>
          <w:szCs w:val="32"/>
        </w:rPr>
      </w:pPr>
      <w:r>
        <w:rPr>
          <w:rFonts w:ascii="仿宋_GB2312" w:eastAsia="仿宋_GB2312" w:cs="仿宋_GB2312" w:hAnsi="仿宋_GB2312" w:hint="eastAsia"/>
          <w:sz w:val="32"/>
          <w:szCs w:val="32"/>
        </w:rPr>
        <w:t>（三）年度房屋安全鉴定星级等级评为D级的；</w:t>
      </w:r>
    </w:p>
    <w:p>
      <w:pPr>
        <w:ind w:firstLineChars="200" w:firstLine="640"/>
        <w:rPr>
          <w:rFonts w:ascii="仿宋" w:eastAsia="仿宋" w:cs="仿宋" w:hAnsi="仿宋"/>
          <w:sz w:val="32"/>
          <w:szCs w:val="24"/>
        </w:rPr>
      </w:pPr>
      <w:r>
        <w:rPr>
          <w:rFonts w:ascii="仿宋_GB2312" w:eastAsia="仿宋_GB2312" w:cs="仿宋_GB2312" w:hAnsi="仿宋_GB2312" w:hint="eastAsia"/>
          <w:sz w:val="32"/>
          <w:szCs w:val="32"/>
        </w:rPr>
        <w:t>（四）存在其他违背公开、公平、公正和诚实信用原则行为的。</w:t>
      </w:r>
      <w:r>
        <w:rPr>
          <w:rFonts w:ascii="仿宋" w:eastAsia="仿宋" w:cs="仿宋" w:hAnsi="仿宋" w:hint="eastAsia"/>
          <w:sz w:val="32"/>
          <w:szCs w:val="24"/>
        </w:rPr>
        <w:t>”。</w:t>
      </w:r>
    </w:p>
    <w:p>
      <w:pPr>
        <w:ind w:firstLineChars="200" w:firstLine="640"/>
        <w:rPr>
          <w:rFonts w:ascii="仿宋" w:eastAsia="仿宋" w:cs="仿宋" w:hAnsi="仿宋"/>
          <w:sz w:val="32"/>
          <w:szCs w:val="24"/>
        </w:rPr>
      </w:pPr>
      <w:r>
        <w:rPr>
          <w:rFonts w:ascii="仿宋" w:eastAsia="仿宋" w:cs="仿宋" w:hAnsi="仿宋" w:hint="eastAsia"/>
          <w:sz w:val="32"/>
          <w:szCs w:val="24"/>
        </w:rPr>
        <w:t>（七）第二十三条修改为“</w:t>
      </w:r>
      <w:r>
        <w:rPr>
          <w:rFonts w:ascii="仿宋_GB2312" w:eastAsia="仿宋_GB2312" w:cs="仿宋_GB2312" w:hAnsi="仿宋_GB2312" w:hint="eastAsia"/>
          <w:sz w:val="32"/>
          <w:szCs w:val="32"/>
        </w:rPr>
        <w:t>本办法自2019年2月1日起施行,有效期至202</w:t>
      </w:r>
      <w:r>
        <w:rPr>
          <w:rFonts w:ascii="仿宋_GB2312" w:eastAsia="仿宋_GB2312" w:cs="仿宋_GB2312" w:hAnsi="仿宋_GB2312"/>
          <w:sz w:val="32"/>
          <w:szCs w:val="32"/>
        </w:rPr>
        <w:t>8</w:t>
      </w:r>
      <w:r>
        <w:rPr>
          <w:rFonts w:ascii="仿宋_GB2312" w:eastAsia="仿宋_GB2312" w:cs="仿宋_GB2312" w:hAnsi="仿宋_GB2312" w:hint="eastAsia"/>
          <w:sz w:val="32"/>
          <w:szCs w:val="32"/>
        </w:rPr>
        <w:t>年</w:t>
      </w:r>
      <w:r>
        <w:rPr>
          <w:rFonts w:ascii="仿宋_GB2312" w:eastAsia="仿宋_GB2312" w:cs="仿宋_GB2312" w:hAnsi="仿宋_GB2312"/>
          <w:sz w:val="32"/>
          <w:szCs w:val="32"/>
        </w:rPr>
        <w:t>8</w:t>
      </w:r>
      <w:r>
        <w:rPr>
          <w:rFonts w:ascii="仿宋_GB2312" w:eastAsia="仿宋_GB2312" w:cs="仿宋_GB2312" w:hAnsi="仿宋_GB2312" w:hint="eastAsia"/>
          <w:sz w:val="32"/>
          <w:szCs w:val="32"/>
        </w:rPr>
        <w:t>月</w:t>
      </w:r>
      <w:r>
        <w:rPr>
          <w:rFonts w:ascii="仿宋_GB2312" w:eastAsia="仿宋_GB2312" w:cs="仿宋_GB2312" w:hAnsi="仿宋_GB2312"/>
          <w:sz w:val="32"/>
          <w:szCs w:val="32"/>
        </w:rPr>
        <w:t>24</w:t>
      </w:r>
      <w:r>
        <w:rPr>
          <w:rFonts w:ascii="仿宋_GB2312" w:eastAsia="仿宋_GB2312" w:cs="仿宋_GB2312" w:hAnsi="仿宋_GB2312" w:hint="eastAsia"/>
          <w:sz w:val="32"/>
          <w:szCs w:val="32"/>
        </w:rPr>
        <w:t>日止，由南京市住房保障和房产局负责解释。</w:t>
      </w:r>
      <w:r>
        <w:rPr>
          <w:rFonts w:ascii="仿宋" w:eastAsia="仿宋" w:cs="仿宋" w:hAnsi="仿宋" w:hint="eastAsia"/>
          <w:sz w:val="32"/>
          <w:szCs w:val="24"/>
        </w:rPr>
        <w:t>”。</w:t>
      </w:r>
    </w:p>
    <w:p>
      <w:pPr>
        <w:ind w:firstLineChars="200" w:firstLine="640"/>
        <w:rPr>
          <w:rFonts w:ascii="黑体" w:eastAsia="黑体" w:cs="黑体" w:hAnsi="黑体"/>
          <w:sz w:val="32"/>
          <w:szCs w:val="24"/>
        </w:rPr>
      </w:pPr>
      <w:r>
        <w:rPr>
          <w:rFonts w:ascii="黑体" w:eastAsia="黑体" w:cs="黑体" w:hAnsi="黑体" w:hint="eastAsia"/>
          <w:sz w:val="32"/>
          <w:szCs w:val="24"/>
        </w:rPr>
        <w:t>七、对《关于印发〈南京市建筑幕墙维护检修管理办法〉的通知》（宁房规字〔2020〕1号）作出修改</w:t>
      </w:r>
    </w:p>
    <w:p>
      <w:pPr>
        <w:ind w:firstLineChars="200" w:firstLine="640"/>
        <w:rPr>
          <w:rFonts w:ascii="仿宋" w:eastAsia="仿宋" w:cs="仿宋" w:hAnsi="仿宋"/>
          <w:sz w:val="32"/>
          <w:szCs w:val="24"/>
        </w:rPr>
      </w:pPr>
      <w:r>
        <w:rPr>
          <w:rFonts w:ascii="仿宋" w:eastAsia="仿宋" w:cs="仿宋" w:hAnsi="仿宋" w:hint="eastAsia"/>
          <w:sz w:val="32"/>
          <w:szCs w:val="24"/>
        </w:rPr>
        <w:t>（一）将第十七条第二款修改为“</w:t>
      </w:r>
      <w:r>
        <w:rPr>
          <w:rFonts w:ascii="仿宋_GB2312" w:eastAsia="仿宋_GB2312" w:cs="宋体" w:hAnsi="宋体" w:hint="eastAsia"/>
          <w:kern w:val="0"/>
          <w:sz w:val="32"/>
          <w:szCs w:val="32"/>
        </w:rPr>
        <w:t>维护检修责任人拒不采取有效措施的，房屋安全行政主管部门在房产交易、租赁信息平台进行风险提示；被行政处罚的，依法记入社会信用信息。</w:t>
      </w:r>
      <w:r>
        <w:rPr>
          <w:rFonts w:ascii="仿宋" w:eastAsia="仿宋" w:cs="仿宋" w:hAnsi="仿宋" w:hint="eastAsia"/>
          <w:sz w:val="32"/>
          <w:szCs w:val="24"/>
        </w:rPr>
        <w:t>”。</w:t>
      </w:r>
    </w:p>
    <w:p>
      <w:pPr>
        <w:ind w:firstLineChars="200" w:firstLine="640"/>
        <w:rPr>
          <w:rFonts w:ascii="仿宋" w:eastAsia="仿宋" w:cs="仿宋" w:hAnsi="仿宋"/>
          <w:sz w:val="32"/>
          <w:szCs w:val="24"/>
        </w:rPr>
      </w:pPr>
      <w:r>
        <w:rPr>
          <w:rFonts w:ascii="仿宋" w:eastAsia="仿宋" w:cs="仿宋" w:hAnsi="仿宋" w:hint="eastAsia"/>
          <w:sz w:val="32"/>
          <w:szCs w:val="24"/>
        </w:rPr>
        <w:t>（二）将第二十一条修改为“</w:t>
      </w:r>
      <w:r>
        <w:rPr>
          <w:rFonts w:ascii="仿宋_GB2312" w:eastAsia="仿宋_GB2312" w:cs="宋体" w:hAnsi="宋体" w:hint="eastAsia"/>
          <w:kern w:val="0"/>
          <w:sz w:val="32"/>
          <w:szCs w:val="32"/>
        </w:rPr>
        <w:t>本办法自2020年3月1日起施行，有效期至202</w:t>
      </w:r>
      <w:r>
        <w:rPr>
          <w:rFonts w:ascii="仿宋_GB2312" w:eastAsia="仿宋_GB2312" w:cs="宋体" w:hAnsi="宋体"/>
          <w:kern w:val="0"/>
          <w:sz w:val="32"/>
          <w:szCs w:val="32"/>
        </w:rPr>
        <w:t>8</w:t>
      </w:r>
      <w:r>
        <w:rPr>
          <w:rFonts w:ascii="仿宋_GB2312" w:eastAsia="仿宋_GB2312" w:cs="宋体" w:hAnsi="宋体" w:hint="eastAsia"/>
          <w:kern w:val="0"/>
          <w:sz w:val="32"/>
          <w:szCs w:val="32"/>
        </w:rPr>
        <w:t>年</w:t>
      </w:r>
      <w:r>
        <w:rPr>
          <w:rFonts w:ascii="仿宋_GB2312" w:eastAsia="仿宋_GB2312" w:cs="宋体" w:hAnsi="宋体"/>
          <w:kern w:val="0"/>
          <w:sz w:val="32"/>
          <w:szCs w:val="32"/>
        </w:rPr>
        <w:t>8</w:t>
      </w:r>
      <w:r>
        <w:rPr>
          <w:rFonts w:ascii="仿宋_GB2312" w:eastAsia="仿宋_GB2312" w:cs="宋体" w:hAnsi="宋体" w:hint="eastAsia"/>
          <w:kern w:val="0"/>
          <w:sz w:val="32"/>
          <w:szCs w:val="32"/>
        </w:rPr>
        <w:t>月</w:t>
      </w:r>
      <w:r>
        <w:rPr>
          <w:rFonts w:ascii="仿宋_GB2312" w:eastAsia="仿宋_GB2312" w:cs="宋体" w:hAnsi="宋体"/>
          <w:kern w:val="0"/>
          <w:sz w:val="32"/>
          <w:szCs w:val="32"/>
        </w:rPr>
        <w:t>24</w:t>
      </w:r>
      <w:r>
        <w:rPr>
          <w:rFonts w:ascii="仿宋_GB2312" w:eastAsia="仿宋_GB2312" w:cs="宋体" w:hAnsi="宋体" w:hint="eastAsia"/>
          <w:kern w:val="0"/>
          <w:sz w:val="32"/>
          <w:szCs w:val="32"/>
        </w:rPr>
        <w:t>日止。</w:t>
      </w:r>
      <w:r>
        <w:rPr>
          <w:rFonts w:ascii="仿宋" w:eastAsia="仿宋" w:cs="仿宋" w:hAnsi="仿宋" w:hint="eastAsia"/>
          <w:sz w:val="32"/>
          <w:szCs w:val="24"/>
        </w:rPr>
        <w:t>”。</w:t>
      </w:r>
    </w:p>
    <w:p>
      <w:pPr>
        <w:ind w:firstLineChars="200" w:firstLine="640"/>
        <w:rPr>
          <w:rFonts w:ascii="黑体" w:eastAsia="黑体" w:cs="黑体" w:hAnsi="黑体"/>
          <w:sz w:val="32"/>
          <w:szCs w:val="24"/>
        </w:rPr>
      </w:pPr>
      <w:r>
        <w:rPr>
          <w:rFonts w:ascii="黑体" w:eastAsia="黑体" w:cs="黑体" w:hAnsi="黑体" w:hint="eastAsia"/>
          <w:sz w:val="32"/>
          <w:szCs w:val="24"/>
        </w:rPr>
        <w:t>八、对《关于印发〈南京市房产行政处罚自由裁量基准（房屋使用安全类）（试行）〉的通知》（宁房规字〔2020〕2号）作出修改</w:t>
      </w:r>
    </w:p>
    <w:p>
      <w:pPr>
        <w:ind w:firstLineChars="200" w:firstLine="640"/>
        <w:rPr>
          <w:rFonts w:ascii="仿宋" w:eastAsia="仿宋" w:cs="仿宋" w:hAnsi="仿宋"/>
          <w:sz w:val="32"/>
          <w:szCs w:val="24"/>
        </w:rPr>
      </w:pPr>
      <w:r>
        <w:rPr>
          <w:rFonts w:ascii="仿宋" w:eastAsia="仿宋" w:cs="仿宋" w:hAnsi="仿宋" w:hint="eastAsia"/>
          <w:sz w:val="32"/>
          <w:szCs w:val="24"/>
        </w:rPr>
        <w:t>（一）将标题修改为“《关于印发〈南京市房产行政处罚自由裁量基准（房屋使用安全类）〉的通知》”。</w:t>
      </w:r>
    </w:p>
    <w:p>
      <w:pPr>
        <w:ind w:firstLineChars="200" w:firstLine="640"/>
        <w:rPr>
          <w:rFonts w:ascii="仿宋" w:eastAsia="仿宋" w:cs="仿宋" w:hAnsi="仿宋"/>
          <w:sz w:val="32"/>
          <w:szCs w:val="24"/>
        </w:rPr>
      </w:pPr>
      <w:r>
        <w:rPr>
          <w:rFonts w:ascii="仿宋" w:eastAsia="仿宋" w:cs="仿宋" w:hAnsi="仿宋" w:hint="eastAsia"/>
          <w:sz w:val="32"/>
          <w:szCs w:val="24"/>
        </w:rPr>
        <w:t>（二）在正文最后增加“本通知自2020年10月29日起实施，有效期至202</w:t>
      </w:r>
      <w:r>
        <w:rPr>
          <w:rFonts w:ascii="仿宋" w:eastAsia="仿宋" w:cs="仿宋" w:hAnsi="仿宋"/>
          <w:sz w:val="32"/>
          <w:szCs w:val="24"/>
        </w:rPr>
        <w:t>8</w:t>
      </w:r>
      <w:r>
        <w:rPr>
          <w:rFonts w:ascii="仿宋" w:eastAsia="仿宋" w:cs="仿宋" w:hAnsi="仿宋" w:hint="eastAsia"/>
          <w:sz w:val="32"/>
          <w:szCs w:val="24"/>
        </w:rPr>
        <w:t>年</w:t>
      </w:r>
      <w:r>
        <w:rPr>
          <w:rFonts w:ascii="仿宋" w:eastAsia="仿宋" w:cs="仿宋" w:hAnsi="仿宋"/>
          <w:sz w:val="32"/>
          <w:szCs w:val="24"/>
        </w:rPr>
        <w:t>8</w:t>
      </w:r>
      <w:r>
        <w:rPr>
          <w:rFonts w:ascii="仿宋" w:eastAsia="仿宋" w:cs="仿宋" w:hAnsi="仿宋" w:hint="eastAsia"/>
          <w:sz w:val="32"/>
          <w:szCs w:val="24"/>
        </w:rPr>
        <w:t>月</w:t>
      </w:r>
      <w:r>
        <w:rPr>
          <w:rFonts w:ascii="仿宋" w:eastAsia="仿宋" w:cs="仿宋" w:hAnsi="仿宋"/>
          <w:sz w:val="32"/>
          <w:szCs w:val="24"/>
        </w:rPr>
        <w:t>24</w:t>
      </w:r>
      <w:r>
        <w:rPr>
          <w:rFonts w:ascii="仿宋" w:eastAsia="仿宋" w:cs="仿宋" w:hAnsi="仿宋" w:hint="eastAsia"/>
          <w:sz w:val="32"/>
          <w:szCs w:val="24"/>
        </w:rPr>
        <w:t>日止。”内容。</w:t>
      </w:r>
    </w:p>
    <w:p>
      <w:pPr>
        <w:ind w:firstLineChars="200" w:firstLine="640"/>
        <w:rPr>
          <w:rFonts w:ascii="黑体" w:eastAsia="黑体" w:cs="黑体" w:hAnsi="黑体"/>
          <w:sz w:val="32"/>
          <w:szCs w:val="24"/>
        </w:rPr>
      </w:pPr>
      <w:r>
        <w:rPr>
          <w:rFonts w:ascii="黑体" w:eastAsia="黑体" w:cs="黑体" w:hAnsi="黑体" w:hint="eastAsia"/>
          <w:sz w:val="32"/>
          <w:szCs w:val="24"/>
        </w:rPr>
        <w:t>九、对《关于印发〈南京市住房租赁企业租赁资金银行监管实施细则（试行）〉的通知》（宁房规字〔2021〕1号）作出修改</w:t>
      </w:r>
    </w:p>
    <w:p>
      <w:pPr>
        <w:ind w:firstLineChars="200" w:firstLine="640"/>
        <w:rPr>
          <w:rFonts w:ascii="仿宋" w:eastAsia="仿宋" w:cs="仿宋" w:hAnsi="仿宋"/>
          <w:sz w:val="32"/>
          <w:szCs w:val="24"/>
        </w:rPr>
      </w:pPr>
      <w:r>
        <w:rPr>
          <w:rFonts w:ascii="Times New Roman" w:eastAsia="仿宋" w:cs="Times New Roman" w:hAnsi="Times New Roman" w:hint="eastAsia"/>
          <w:sz w:val="32"/>
          <w:szCs w:val="24"/>
        </w:rPr>
        <w:t>（一）</w:t>
      </w:r>
      <w:r>
        <w:rPr>
          <w:rFonts w:ascii="仿宋" w:eastAsia="仿宋" w:cs="仿宋" w:hAnsi="仿宋" w:hint="eastAsia"/>
          <w:sz w:val="32"/>
          <w:szCs w:val="24"/>
        </w:rPr>
        <w:t>将标题修改为“《关于印发〈南京市住房租赁企业租赁资金银行监管实施细则〉的通知》”。</w:t>
      </w:r>
    </w:p>
    <w:p>
      <w:pPr>
        <w:ind w:firstLineChars="200" w:firstLine="640"/>
        <w:rPr>
          <w:rFonts w:ascii="Times New Roman" w:eastAsia="仿宋" w:cs="Times New Roman" w:hAnsi="Times New Roman"/>
          <w:sz w:val="32"/>
          <w:szCs w:val="24"/>
        </w:rPr>
      </w:pPr>
      <w:r>
        <w:rPr>
          <w:rFonts w:ascii="Times New Roman" w:eastAsia="仿宋" w:cs="Times New Roman" w:hAnsi="Times New Roman" w:hint="eastAsia"/>
          <w:sz w:val="32"/>
          <w:szCs w:val="24"/>
        </w:rPr>
        <w:t>（二）将第二十三条修改为</w:t>
      </w:r>
      <w:r>
        <w:rPr>
          <w:rFonts w:ascii="仿宋" w:eastAsia="仿宋" w:cs="Times New Roman" w:hAnsi="仿宋" w:hint="eastAsia"/>
          <w:sz w:val="32"/>
          <w:szCs w:val="24"/>
        </w:rPr>
        <w:t>“</w:t>
      </w:r>
      <w:r>
        <w:rPr>
          <w:rFonts w:ascii="仿宋" w:eastAsia="仿宋" w:cs="Times New Roman" w:hAnsi="仿宋"/>
          <w:sz w:val="32"/>
          <w:szCs w:val="24"/>
        </w:rPr>
        <w:t>本细则自2021年</w:t>
      </w:r>
      <w:r>
        <w:rPr>
          <w:rFonts w:ascii="仿宋" w:eastAsia="仿宋" w:cs="Times New Roman" w:hAnsi="仿宋" w:hint="eastAsia"/>
          <w:sz w:val="32"/>
          <w:szCs w:val="24"/>
        </w:rPr>
        <w:t>9</w:t>
      </w:r>
      <w:r>
        <w:rPr>
          <w:rFonts w:ascii="仿宋" w:eastAsia="仿宋" w:cs="Times New Roman" w:hAnsi="仿宋"/>
          <w:sz w:val="32"/>
          <w:szCs w:val="24"/>
        </w:rPr>
        <w:t>月</w:t>
      </w:r>
      <w:r>
        <w:rPr>
          <w:rFonts w:ascii="仿宋" w:eastAsia="仿宋" w:cs="Times New Roman" w:hAnsi="仿宋" w:hint="eastAsia"/>
          <w:sz w:val="32"/>
          <w:szCs w:val="24"/>
        </w:rPr>
        <w:t>1</w:t>
      </w:r>
      <w:r>
        <w:rPr>
          <w:rFonts w:ascii="仿宋" w:eastAsia="仿宋" w:cs="Times New Roman" w:hAnsi="仿宋"/>
          <w:sz w:val="32"/>
          <w:szCs w:val="24"/>
        </w:rPr>
        <w:t>日起施行，</w:t>
      </w:r>
      <w:r>
        <w:rPr>
          <w:rFonts w:ascii="仿宋" w:eastAsia="仿宋" w:cs="Times New Roman" w:hAnsi="仿宋" w:hint="eastAsia"/>
          <w:sz w:val="32"/>
          <w:szCs w:val="24"/>
        </w:rPr>
        <w:t>有效期至202</w:t>
      </w:r>
      <w:r>
        <w:rPr>
          <w:rFonts w:ascii="仿宋" w:eastAsia="仿宋" w:cs="Times New Roman" w:hAnsi="仿宋"/>
          <w:sz w:val="32"/>
          <w:szCs w:val="24"/>
        </w:rPr>
        <w:t>8</w:t>
      </w:r>
      <w:r>
        <w:rPr>
          <w:rFonts w:ascii="仿宋" w:eastAsia="仿宋" w:cs="Times New Roman" w:hAnsi="仿宋" w:hint="eastAsia"/>
          <w:sz w:val="32"/>
          <w:szCs w:val="24"/>
        </w:rPr>
        <w:t>年</w:t>
      </w:r>
      <w:r>
        <w:rPr>
          <w:rFonts w:ascii="仿宋" w:eastAsia="仿宋" w:cs="Times New Roman" w:hAnsi="仿宋"/>
          <w:sz w:val="32"/>
          <w:szCs w:val="24"/>
        </w:rPr>
        <w:t>8</w:t>
      </w:r>
      <w:r>
        <w:rPr>
          <w:rFonts w:ascii="仿宋" w:eastAsia="仿宋" w:cs="Times New Roman" w:hAnsi="仿宋" w:hint="eastAsia"/>
          <w:sz w:val="32"/>
          <w:szCs w:val="24"/>
        </w:rPr>
        <w:t>月</w:t>
      </w:r>
      <w:r>
        <w:rPr>
          <w:rFonts w:ascii="仿宋" w:eastAsia="仿宋" w:cs="Times New Roman" w:hAnsi="仿宋"/>
          <w:sz w:val="32"/>
          <w:szCs w:val="24"/>
        </w:rPr>
        <w:t>24</w:t>
      </w:r>
      <w:r>
        <w:rPr>
          <w:rFonts w:ascii="仿宋" w:eastAsia="仿宋" w:cs="Times New Roman" w:hAnsi="仿宋" w:hint="eastAsia"/>
          <w:sz w:val="32"/>
          <w:szCs w:val="24"/>
        </w:rPr>
        <w:t>日止，</w:t>
      </w:r>
      <w:r>
        <w:rPr>
          <w:rFonts w:ascii="仿宋" w:eastAsia="仿宋" w:cs="Times New Roman" w:hAnsi="仿宋"/>
          <w:sz w:val="32"/>
          <w:szCs w:val="24"/>
        </w:rPr>
        <w:t>国家、省、市有关管理部门出台新的规定，依照新规定执行</w:t>
      </w:r>
      <w:r>
        <w:rPr>
          <w:rFonts w:ascii="仿宋_GB2312" w:eastAsia="仿宋_GB2312" w:cs="Times New Roman" w:hAnsi="Times New Roman" w:hint="eastAsia"/>
          <w:sz w:val="32"/>
          <w:szCs w:val="24"/>
        </w:rPr>
        <w:t>。</w:t>
      </w:r>
      <w:r>
        <w:rPr>
          <w:rFonts w:ascii="Times New Roman" w:eastAsia="仿宋" w:cs="Times New Roman" w:hAnsi="Times New Roman" w:hint="eastAsia"/>
          <w:sz w:val="32"/>
          <w:szCs w:val="24"/>
        </w:rPr>
        <w:t>”。</w:t>
      </w:r>
    </w:p>
    <w:p>
      <w:pPr>
        <w:ind w:firstLineChars="200" w:firstLine="640"/>
        <w:rPr>
          <w:rFonts w:ascii="Times New Roman" w:eastAsia="仿宋" w:cs="Times New Roman" w:hAnsi="Times New Roman"/>
          <w:sz w:val="32"/>
          <w:szCs w:val="24"/>
        </w:rPr>
      </w:pPr>
      <w:r>
        <w:rPr>
          <w:rFonts w:ascii="Times New Roman" w:eastAsia="仿宋" w:cs="Times New Roman" w:hAnsi="Times New Roman" w:hint="eastAsia"/>
          <w:sz w:val="32"/>
          <w:szCs w:val="24"/>
        </w:rPr>
        <w:t>本通知自印发之日起施行。</w:t>
      </w:r>
    </w:p>
    <w:p>
      <w:pPr>
        <w:rPr>
          <w:rFonts w:ascii="Times New Roman" w:eastAsia="仿宋" w:cs="Times New Roman" w:hAnsi="Times New Roman"/>
          <w:sz w:val="32"/>
          <w:szCs w:val="24"/>
        </w:rPr>
      </w:pPr>
    </w:p>
    <w:p>
      <w:pPr>
        <w:ind w:left="960" w:hangingChars="300" w:hanging="960"/>
        <w:rPr>
          <w:rFonts w:ascii="Times New Roman" w:eastAsia="仿宋" w:cs="Times New Roman" w:hAnsi="Times New Roman"/>
          <w:sz w:val="32"/>
          <w:szCs w:val="24"/>
        </w:rPr>
      </w:pPr>
    </w:p>
    <w:p>
      <w:pPr>
        <w:ind w:firstLineChars="1300" w:firstLine="4160"/>
        <w:rPr>
          <w:rFonts w:ascii="Times New Roman" w:eastAsia="仿宋" w:cs="Times New Roman" w:hAnsi="Times New Roman"/>
          <w:sz w:val="32"/>
          <w:szCs w:val="24"/>
        </w:rPr>
      </w:pPr>
      <w:r>
        <w:rPr>
          <w:rFonts w:ascii="Times New Roman" w:eastAsia="仿宋" w:cs="Times New Roman" w:hAnsi="Times New Roman" w:hint="eastAsia"/>
          <w:sz w:val="32"/>
          <w:szCs w:val="24"/>
        </w:rPr>
        <w:t>南京市住房保障和房产局</w:t>
      </w:r>
    </w:p>
    <w:p>
      <w:pPr>
        <w:ind w:firstLineChars="1500" w:firstLine="4800"/>
        <w:rPr>
          <w:rFonts w:ascii="Times New Roman" w:eastAsia="仿宋" w:cs="Times New Roman" w:hAnsi="Times New Roman" w:hint="eastAsia"/>
          <w:sz w:val="32"/>
          <w:szCs w:val="24"/>
        </w:rPr>
      </w:pPr>
      <w:r>
        <w:rPr>
          <w:rFonts w:ascii="Times New Roman" w:eastAsia="仿宋" w:cs="Times New Roman" w:hAnsi="Times New Roman" w:hint="eastAsia"/>
          <w:sz w:val="32"/>
          <w:szCs w:val="24"/>
        </w:rPr>
        <w:t>202</w:t>
      </w:r>
      <w:r>
        <w:rPr>
          <w:rFonts w:ascii="Times New Roman" w:eastAsia="仿宋" w:cs="Times New Roman" w:hAnsi="Times New Roman"/>
          <w:sz w:val="32"/>
          <w:szCs w:val="24"/>
        </w:rPr>
        <w:t>3</w:t>
      </w:r>
      <w:r>
        <w:rPr>
          <w:rFonts w:ascii="Times New Roman" w:eastAsia="仿宋" w:cs="Times New Roman" w:hAnsi="Times New Roman" w:hint="eastAsia"/>
          <w:sz w:val="32"/>
          <w:szCs w:val="24"/>
        </w:rPr>
        <w:t>年</w:t>
      </w:r>
      <w:r>
        <w:rPr>
          <w:rFonts w:ascii="Times New Roman" w:eastAsia="仿宋" w:cs="Times New Roman" w:hAnsi="Times New Roman"/>
          <w:sz w:val="32"/>
          <w:szCs w:val="24"/>
        </w:rPr>
        <w:t>8</w:t>
      </w:r>
      <w:r>
        <w:rPr>
          <w:rFonts w:ascii="Times New Roman" w:eastAsia="仿宋" w:cs="Times New Roman" w:hAnsi="Times New Roman" w:hint="eastAsia"/>
          <w:sz w:val="32"/>
          <w:szCs w:val="24"/>
        </w:rPr>
        <w:t>月</w:t>
      </w:r>
      <w:r>
        <w:rPr>
          <w:rFonts w:ascii="Times New Roman" w:eastAsia="仿宋" w:cs="Times New Roman" w:hAnsi="Times New Roman"/>
          <w:sz w:val="32"/>
          <w:szCs w:val="24"/>
        </w:rPr>
        <w:t>25</w:t>
      </w:r>
      <w:r>
        <w:rPr>
          <w:rFonts w:ascii="Times New Roman" w:eastAsia="仿宋" w:cs="Times New Roman" w:hAnsi="Times New Roman" w:hint="eastAsia"/>
          <w:sz w:val="32"/>
          <w:szCs w:val="24"/>
        </w:rPr>
        <w:t>日</w:t>
      </w:r>
    </w:p>
    <w:p>
      <w:pPr>
        <w:spacing w:line="570" w:lineRule="exact"/>
        <w:jc w:val="center"/>
        <w:rPr>
          <w:rFonts w:ascii="方正小标宋_GBK" w:eastAsia="方正小标宋_GBK" w:cs="锐字云字库小标宋体GBK" w:hAnsi="锐字云字库小标宋体GBK"/>
          <w:color w:val="000000"/>
          <w:sz w:val="44"/>
          <w:szCs w:val="44"/>
        </w:rPr>
      </w:pPr>
      <w:r>
        <w:rPr>
          <w:rFonts w:ascii="方正小标宋_GBK" w:eastAsia="方正小标宋_GBK" w:cs="锐字云字库小标宋体GBK" w:hAnsi="锐字云字库小标宋体GBK" w:hint="eastAsia"/>
          <w:color w:val="000000"/>
          <w:sz w:val="44"/>
          <w:szCs w:val="44"/>
        </w:rPr>
        <w:t>关于进一步做好南京市存量房交易资金</w:t>
      </w:r>
    </w:p>
    <w:p>
      <w:pPr>
        <w:spacing w:line="570" w:lineRule="exact"/>
        <w:jc w:val="center"/>
        <w:rPr>
          <w:rFonts w:ascii="方正小标宋_GBK" w:eastAsia="方正小标宋_GBK" w:cs="锐字云字库小标宋体GBK" w:hAnsi="锐字云字库小标宋体GBK"/>
          <w:color w:val="000000"/>
          <w:sz w:val="44"/>
          <w:szCs w:val="44"/>
        </w:rPr>
      </w:pPr>
      <w:r>
        <w:rPr>
          <w:rFonts w:ascii="方正小标宋_GBK" w:eastAsia="方正小标宋_GBK" w:cs="锐字云字库小标宋体GBK" w:hAnsi="锐字云字库小标宋体GBK" w:hint="eastAsia"/>
          <w:color w:val="000000"/>
          <w:sz w:val="44"/>
          <w:szCs w:val="44"/>
        </w:rPr>
        <w:t>监管工作的通知</w:t>
      </w:r>
    </w:p>
    <w:p>
      <w:pPr>
        <w:jc w:val="center"/>
        <w:rPr>
          <w:rFonts w:ascii="仿宋_GB2312" w:eastAsia="仿宋_GB2312" w:cs="方正仿宋_GBK" w:hAnsi="方正仿宋_GBK"/>
          <w:color w:val="000000"/>
          <w:sz w:val="32"/>
          <w:szCs w:val="32"/>
        </w:rPr>
      </w:pPr>
      <w:r>
        <w:rPr>
          <w:rFonts w:ascii="仿宋_GB2312" w:eastAsia="仿宋_GB2312" w:cs="方正仿宋_GBK" w:hAnsi="方正仿宋_GBK" w:hint="eastAsia"/>
          <w:color w:val="000000"/>
          <w:sz w:val="32"/>
          <w:szCs w:val="32"/>
        </w:rPr>
        <w:t>宁房规字〔</w:t>
      </w:r>
      <w:r>
        <w:rPr>
          <w:rFonts w:ascii="仿宋_GB2312" w:eastAsia="仿宋_GB2312" w:cs="方正仿宋_GBK" w:hAnsi="方正仿宋_GBK"/>
          <w:color w:val="000000"/>
          <w:sz w:val="32"/>
          <w:szCs w:val="32"/>
        </w:rPr>
        <w:t>2023〕3号</w:t>
      </w:r>
    </w:p>
    <w:p>
      <w:pPr>
        <w:jc w:val="center"/>
        <w:rPr>
          <w:rFonts w:ascii="仿宋_GB2312" w:eastAsia="仿宋_GB2312" w:cs="方正仿宋_GBK" w:hAnsi="方正仿宋_GBK" w:hint="eastAsia"/>
          <w:color w:val="000000"/>
          <w:sz w:val="32"/>
          <w:szCs w:val="32"/>
        </w:rPr>
      </w:pPr>
    </w:p>
    <w:p>
      <w:pPr>
        <w:rPr>
          <w:rFonts w:ascii="仿宋_GB2312" w:eastAsia="仿宋_GB2312" w:cs="方正仿宋_GBK" w:hAnsi="方正仿宋_GBK"/>
          <w:color w:val="000000"/>
          <w:sz w:val="32"/>
          <w:szCs w:val="32"/>
        </w:rPr>
      </w:pPr>
      <w:r>
        <w:rPr>
          <w:rFonts w:ascii="仿宋_GB2312" w:eastAsia="仿宋_GB2312" w:cs="方正仿宋_GBK" w:hAnsi="方正仿宋_GBK" w:hint="eastAsia"/>
          <w:color w:val="000000"/>
          <w:sz w:val="32"/>
          <w:szCs w:val="32"/>
        </w:rPr>
        <w:t>各有关单位：</w:t>
      </w:r>
    </w:p>
    <w:p>
      <w:pPr>
        <w:ind w:firstLineChars="200" w:firstLine="640"/>
        <w:rPr>
          <w:rFonts w:ascii="仿宋_GB2312" w:eastAsia="仿宋_GB2312" w:cs="方正仿宋_GBK" w:hAnsi="方正仿宋_GBK"/>
          <w:bCs/>
          <w:color w:val="000000"/>
          <w:sz w:val="32"/>
          <w:szCs w:val="32"/>
        </w:rPr>
      </w:pPr>
      <w:r>
        <w:rPr>
          <w:rFonts w:ascii="仿宋_GB2312" w:eastAsia="仿宋_GB2312" w:cs="方正仿宋_GBK" w:hAnsi="方正仿宋_GBK" w:hint="eastAsia"/>
          <w:color w:val="000000"/>
          <w:sz w:val="32"/>
          <w:szCs w:val="32"/>
        </w:rPr>
        <w:t>为进一步激发存量房市场活力，规范存量房市场秩序，保障存量房交易资金安全，维护存量房买卖双方的合法权益，</w:t>
      </w:r>
      <w:r>
        <w:rPr>
          <w:rFonts w:ascii="仿宋_GB2312" w:eastAsia="仿宋_GB2312" w:cs="方正仿宋_GBK" w:hAnsi="方正仿宋_GBK" w:hint="eastAsia"/>
          <w:bCs/>
          <w:color w:val="000000"/>
          <w:sz w:val="32"/>
          <w:szCs w:val="32"/>
        </w:rPr>
        <w:t>根据</w:t>
      </w:r>
      <w:r>
        <w:rPr>
          <w:rFonts w:ascii="仿宋_GB2312" w:eastAsia="仿宋_GB2312" w:cs="方正仿宋_GBK" w:hAnsi="方正仿宋_GBK" w:hint="eastAsia"/>
          <w:color w:val="000000"/>
          <w:sz w:val="32"/>
          <w:szCs w:val="32"/>
        </w:rPr>
        <w:t>《住房城乡建设部关于进一步规范和加强房屋网签备案工作的指导意见》（建房〔2018〕128号）《住房和城乡建设部　市场监管总局关于规范房地产经纪服务的意见》（建房规〔2023〕2号）等</w:t>
      </w:r>
      <w:r>
        <w:rPr>
          <w:rFonts w:ascii="仿宋_GB2312" w:eastAsia="仿宋_GB2312" w:cs="方正仿宋_GBK" w:hAnsi="方正仿宋_GBK" w:hint="eastAsia"/>
          <w:bCs/>
          <w:color w:val="000000"/>
          <w:sz w:val="32"/>
          <w:szCs w:val="32"/>
        </w:rPr>
        <w:t>文件精神，结合实际，现就我市进一步做好存量房交易资金监管有关工作通知如下：</w:t>
      </w:r>
    </w:p>
    <w:p>
      <w:pPr>
        <w:ind w:firstLineChars="200" w:firstLine="640"/>
        <w:rPr>
          <w:rFonts w:ascii="仿宋_GB2312" w:eastAsia="仿宋_GB2312" w:cs="方正仿宋_GBK" w:hAnsi="方正仿宋_GBK"/>
          <w:color w:val="000000"/>
          <w:sz w:val="32"/>
          <w:szCs w:val="32"/>
        </w:rPr>
      </w:pPr>
      <w:r>
        <w:rPr>
          <w:rFonts w:ascii="仿宋_GB2312" w:eastAsia="仿宋_GB2312" w:cs="方正仿宋_GBK" w:hAnsi="方正仿宋_GBK" w:hint="eastAsia"/>
          <w:color w:val="000000"/>
          <w:sz w:val="32"/>
          <w:szCs w:val="32"/>
        </w:rPr>
        <w:t>一、本市实行存量房交易资金监管制度。除当事人提出明确要求外，当事人办理存量房买卖合同网</w:t>
      </w:r>
      <w:r>
        <w:rPr>
          <w:rFonts w:ascii="仿宋_GB2312" w:eastAsia="仿宋_GB2312" w:cs="方正仿宋_GBK" w:hAnsi="方正仿宋_GBK" w:hint="eastAsia"/>
          <w:sz w:val="32"/>
          <w:szCs w:val="32"/>
        </w:rPr>
        <w:t>签备案</w:t>
      </w:r>
      <w:r>
        <w:rPr>
          <w:rFonts w:ascii="仿宋_GB2312" w:eastAsia="仿宋_GB2312" w:cs="方正仿宋_GBK" w:hAnsi="方正仿宋_GBK" w:hint="eastAsia"/>
          <w:color w:val="000000"/>
          <w:sz w:val="32"/>
          <w:szCs w:val="32"/>
        </w:rPr>
        <w:t>应当签订交易资金监管协议。</w:t>
      </w:r>
    </w:p>
    <w:p>
      <w:pPr>
        <w:ind w:firstLineChars="200" w:firstLine="640"/>
        <w:rPr>
          <w:rFonts w:ascii="仿宋_GB2312" w:eastAsia="仿宋_GB2312" w:cs="方正仿宋_GBK" w:hAnsi="方正仿宋_GBK"/>
          <w:bCs/>
          <w:color w:val="000000"/>
          <w:sz w:val="32"/>
          <w:szCs w:val="32"/>
        </w:rPr>
      </w:pPr>
      <w:r>
        <w:rPr>
          <w:rFonts w:ascii="仿宋_GB2312" w:eastAsia="仿宋_GB2312" w:cs="方正仿宋_GBK" w:hAnsi="方正仿宋_GBK" w:hint="eastAsia"/>
          <w:color w:val="000000"/>
          <w:sz w:val="32"/>
          <w:szCs w:val="32"/>
        </w:rPr>
        <w:t>二、南京市住房保障和房产局（以下简称市房产局）负责统筹、指导、监督全市存量房交易资金监管工作，是玄武区、秦淮区、建邺区、鼓楼区、栖霞区、雨花台区等主城六区监管主体，委托其下属的南京市房地产市场交易中心作为主城六区存量房交易资金监管机构，承担监管具体工作。江北新区、江宁区、浦口区、六合区、溧水区、高淳区房产管理部门是辖区内存量房交易资金监管主体，可委托相应机构作为辖区内监管机构，承担日常存量房交易资金监管工作</w:t>
      </w:r>
      <w:r>
        <w:rPr>
          <w:rFonts w:ascii="仿宋_GB2312" w:eastAsia="仿宋_GB2312" w:cs="方正仿宋_GBK" w:hAnsi="方正仿宋_GBK" w:hint="eastAsia"/>
          <w:bCs/>
          <w:color w:val="000000"/>
          <w:sz w:val="32"/>
          <w:szCs w:val="32"/>
        </w:rPr>
        <w:t>。</w:t>
      </w:r>
    </w:p>
    <w:p>
      <w:pPr>
        <w:ind w:firstLineChars="200" w:firstLine="640"/>
        <w:rPr>
          <w:rFonts w:ascii="仿宋_GB2312" w:eastAsia="仿宋_GB2312" w:cs="方正仿宋_GBK" w:hAnsi="方正仿宋_GBK"/>
          <w:color w:val="000000"/>
          <w:sz w:val="32"/>
          <w:szCs w:val="32"/>
        </w:rPr>
      </w:pPr>
      <w:r>
        <w:rPr>
          <w:rFonts w:ascii="仿宋_GB2312" w:eastAsia="仿宋_GB2312" w:cs="方正仿宋_GBK" w:hAnsi="方正仿宋_GBK" w:hint="eastAsia"/>
          <w:bCs/>
          <w:color w:val="000000"/>
          <w:sz w:val="32"/>
          <w:szCs w:val="32"/>
        </w:rPr>
        <w:t>三、存量房交易资金监管范围包括购房定金、首付款、购房贷款等购房款项。鼓励房地产经纪机构将经纪服务费用纳入交易资金监管范围。</w:t>
      </w:r>
    </w:p>
    <w:p>
      <w:pPr>
        <w:ind w:firstLineChars="200" w:firstLine="640"/>
        <w:rPr>
          <w:rFonts w:ascii="仿宋_GB2312" w:eastAsia="仿宋_GB2312" w:cs="方正仿宋_GBK" w:hAnsi="方正仿宋_GBK"/>
          <w:color w:val="000000"/>
          <w:sz w:val="32"/>
          <w:szCs w:val="32"/>
        </w:rPr>
      </w:pPr>
      <w:r>
        <w:rPr>
          <w:rFonts w:ascii="仿宋_GB2312" w:eastAsia="仿宋_GB2312" w:cs="方正仿宋_GBK" w:hAnsi="方正仿宋_GBK" w:hint="eastAsia"/>
          <w:bCs/>
          <w:color w:val="000000"/>
          <w:sz w:val="32"/>
          <w:szCs w:val="32"/>
        </w:rPr>
        <w:t>四、当事人办理存量房交易资金监管的，买方如需办理新购房抵押贷款，应当凭监管机构出具的存量房首付款监管凭证办理银行贷款手续。</w:t>
      </w:r>
    </w:p>
    <w:p>
      <w:pPr>
        <w:ind w:firstLineChars="200" w:firstLine="640"/>
        <w:rPr>
          <w:rFonts w:ascii="仿宋_GB2312" w:eastAsia="仿宋_GB2312" w:cs="方正仿宋_GBK" w:hAnsi="方正仿宋_GBK"/>
          <w:color w:val="000000"/>
          <w:sz w:val="32"/>
          <w:szCs w:val="32"/>
        </w:rPr>
      </w:pPr>
      <w:r>
        <w:rPr>
          <w:rFonts w:ascii="仿宋_GB2312" w:eastAsia="仿宋_GB2312" w:cs="方正仿宋_GBK" w:hAnsi="方正仿宋_GBK" w:hint="eastAsia"/>
          <w:bCs/>
          <w:color w:val="000000"/>
          <w:sz w:val="32"/>
          <w:szCs w:val="32"/>
        </w:rPr>
        <w:t>五、市房产局综合商业银行资信状况、监管能力、服务水平、负面清单等因素，招标确定可承接存量房交易资金监管业务的商业银行（以下简称“监管银行”）名单，并通过门户网站公示中标的商业银行。</w:t>
      </w:r>
    </w:p>
    <w:p>
      <w:pPr>
        <w:ind w:firstLineChars="200" w:firstLine="640"/>
        <w:rPr>
          <w:rFonts w:ascii="仿宋_GB2312" w:eastAsia="仿宋_GB2312" w:cs="方正仿宋_GBK" w:hAnsi="方正仿宋_GBK"/>
          <w:bCs/>
          <w:color w:val="000000"/>
          <w:sz w:val="32"/>
          <w:szCs w:val="32"/>
        </w:rPr>
      </w:pPr>
      <w:r>
        <w:rPr>
          <w:rFonts w:ascii="仿宋_GB2312" w:eastAsia="仿宋_GB2312" w:cs="方正仿宋_GBK" w:hAnsi="方正仿宋_GBK" w:hint="eastAsia"/>
          <w:bCs/>
          <w:color w:val="000000"/>
          <w:sz w:val="32"/>
          <w:szCs w:val="32"/>
        </w:rPr>
        <w:t>六、市房产局建立监管银行考核评价机制，定期对监管银行开展考核评价，并根据考核评价结果动态调整监管银行名单。</w:t>
      </w:r>
    </w:p>
    <w:p>
      <w:pPr>
        <w:ind w:firstLineChars="200" w:firstLine="640"/>
        <w:rPr>
          <w:rFonts w:ascii="仿宋_GB2312" w:eastAsia="仿宋_GB2312" w:cs="方正仿宋_GBK" w:hAnsi="方正仿宋_GBK"/>
          <w:bCs/>
          <w:color w:val="000000"/>
          <w:sz w:val="32"/>
          <w:szCs w:val="32"/>
        </w:rPr>
      </w:pPr>
      <w:r>
        <w:rPr>
          <w:rFonts w:ascii="仿宋_GB2312" w:eastAsia="仿宋_GB2312" w:cs="方正仿宋_GBK" w:hAnsi="方正仿宋_GBK" w:hint="eastAsia"/>
          <w:bCs/>
          <w:color w:val="000000"/>
          <w:sz w:val="32"/>
          <w:szCs w:val="32"/>
        </w:rPr>
        <w:t>七、监管机构应当与监管银行签订监管服务协议，并开设存量房交易资金监管专用账户，该专用账户专门用于存量房交易资金的存储和支付，监管资金不得支取现金。商业银行和有相应资质的第三方机构未与监管机构签订监管服务协议的，不得从事存量房交易资金托管、存管等监管相关业务</w:t>
      </w:r>
      <w:r>
        <w:rPr>
          <w:rFonts w:ascii="仿宋_GB2312" w:eastAsia="仿宋_GB2312" w:cs="方正仿宋_GBK" w:hAnsi="方正仿宋_GBK" w:hint="eastAsia"/>
          <w:color w:val="000000"/>
          <w:sz w:val="32"/>
          <w:szCs w:val="32"/>
        </w:rPr>
        <w:t>。</w:t>
      </w:r>
    </w:p>
    <w:p>
      <w:pPr>
        <w:ind w:firstLineChars="200" w:firstLine="640"/>
        <w:rPr>
          <w:rFonts w:ascii="仿宋_GB2312" w:eastAsia="仿宋_GB2312" w:cs="方正仿宋_GBK" w:hAnsi="方正仿宋_GBK"/>
          <w:bCs/>
          <w:color w:val="000000"/>
          <w:sz w:val="32"/>
          <w:szCs w:val="32"/>
        </w:rPr>
      </w:pPr>
      <w:r>
        <w:rPr>
          <w:rFonts w:ascii="仿宋_GB2312" w:eastAsia="仿宋_GB2312" w:cs="方正仿宋_GBK" w:hAnsi="方正仿宋_GBK" w:hint="eastAsia"/>
          <w:bCs/>
          <w:color w:val="000000"/>
          <w:sz w:val="32"/>
          <w:szCs w:val="32"/>
        </w:rPr>
        <w:t>八、买房人将交易资金存入或转入存量房交易资金监管专用账户，涉及银行贷款由银行将贷款转入该专用账户。交易完成后，由监管机构通过转账的方式划入房产卖出方指定的银行账户；交易未达成的，由监管机构通过转账的方式划入房产买入方指定的银行账户，涉及银行贷款由监管机构通过转账的方式划回原贷款银行。</w:t>
      </w:r>
    </w:p>
    <w:p>
      <w:pPr>
        <w:ind w:firstLineChars="200" w:firstLine="640"/>
        <w:rPr>
          <w:rFonts w:ascii="仿宋_GB2312" w:eastAsia="仿宋_GB2312" w:cs="方正仿宋_GBK" w:hAnsi="方正仿宋_GBK"/>
          <w:bCs/>
          <w:color w:val="000000"/>
          <w:sz w:val="32"/>
          <w:szCs w:val="32"/>
        </w:rPr>
      </w:pPr>
      <w:r>
        <w:rPr>
          <w:rFonts w:ascii="仿宋_GB2312" w:eastAsia="仿宋_GB2312" w:cs="方正仿宋_GBK" w:hAnsi="方正仿宋_GBK" w:hint="eastAsia"/>
          <w:color w:val="000000"/>
          <w:sz w:val="32"/>
          <w:szCs w:val="32"/>
        </w:rPr>
        <w:t>九、</w:t>
      </w:r>
      <w:r>
        <w:rPr>
          <w:rFonts w:ascii="仿宋_GB2312" w:eastAsia="仿宋_GB2312" w:cs="方正仿宋_GBK" w:hAnsi="方正仿宋_GBK" w:hint="eastAsia"/>
          <w:bCs/>
          <w:color w:val="000000"/>
          <w:sz w:val="32"/>
          <w:szCs w:val="32"/>
        </w:rPr>
        <w:t>存量房交易资金监管不收取监管费用。存量房交易资金监管的时间为存入监管专用账户起至不动产登记簿权利人记载为买房人或资金退还至买方（贷款银行）账户止。涉及银行贷款的，不动产登记簿抵押权人记载为贷款银行后，方可交割监管资金。</w:t>
      </w:r>
    </w:p>
    <w:p>
      <w:pPr>
        <w:ind w:firstLineChars="200" w:firstLine="640"/>
        <w:rPr>
          <w:rFonts w:ascii="仿宋_GB2312" w:eastAsia="仿宋_GB2312" w:cs="方正仿宋_GBK" w:hAnsi="方正仿宋_GBK"/>
          <w:bCs/>
          <w:color w:val="000000"/>
          <w:sz w:val="32"/>
          <w:szCs w:val="32"/>
        </w:rPr>
      </w:pPr>
      <w:r>
        <w:rPr>
          <w:rFonts w:ascii="仿宋_GB2312" w:eastAsia="仿宋_GB2312" w:cs="方正仿宋_GBK" w:hAnsi="方正仿宋_GBK" w:hint="eastAsia"/>
          <w:bCs/>
          <w:color w:val="000000"/>
          <w:sz w:val="32"/>
          <w:szCs w:val="32"/>
        </w:rPr>
        <w:t>十、</w:t>
      </w:r>
      <w:r>
        <w:rPr>
          <w:rFonts w:ascii="仿宋_GB2312" w:eastAsia="仿宋_GB2312" w:cs="方正仿宋_GBK" w:hAnsi="方正仿宋_GBK" w:hint="eastAsia"/>
          <w:color w:val="000000"/>
          <w:sz w:val="32"/>
          <w:szCs w:val="32"/>
        </w:rPr>
        <w:t>房地产经纪机构及其从业人员不得通过监管账户以外的账户代收代付交易资金，不得侵占、挪用交易资金。</w:t>
      </w:r>
    </w:p>
    <w:p>
      <w:pPr>
        <w:ind w:firstLineChars="200" w:firstLine="640"/>
        <w:rPr>
          <w:rFonts w:ascii="仿宋_GB2312" w:eastAsia="仿宋_GB2312" w:cs="方正仿宋_GBK" w:hAnsi="方正仿宋_GBK"/>
          <w:color w:val="000000"/>
          <w:sz w:val="32"/>
          <w:szCs w:val="32"/>
        </w:rPr>
      </w:pPr>
      <w:r>
        <w:rPr>
          <w:rFonts w:ascii="仿宋_GB2312" w:eastAsia="仿宋_GB2312" w:cs="方正仿宋_GBK" w:hAnsi="方正仿宋_GBK" w:hint="eastAsia"/>
          <w:color w:val="000000"/>
          <w:sz w:val="32"/>
          <w:szCs w:val="32"/>
        </w:rPr>
        <w:t>十一、对违反本规定的房地产经纪机构及其从业人员，房产管理部门可采取约谈告诫、发布风险提示等措施，并依法依规予以查处。</w:t>
      </w:r>
    </w:p>
    <w:p>
      <w:pPr>
        <w:ind w:firstLineChars="200" w:firstLine="640"/>
        <w:rPr>
          <w:rFonts w:ascii="仿宋_GB2312" w:eastAsia="仿宋_GB2312" w:cs="方正仿宋_GBK" w:hAnsi="方正仿宋_GBK"/>
          <w:color w:val="000000"/>
          <w:sz w:val="32"/>
          <w:szCs w:val="32"/>
        </w:rPr>
      </w:pPr>
      <w:r>
        <w:rPr>
          <w:rFonts w:ascii="仿宋_GB2312" w:eastAsia="仿宋_GB2312" w:cs="方正仿宋_GBK" w:hAnsi="方正仿宋_GBK" w:hint="eastAsia"/>
          <w:color w:val="000000"/>
          <w:sz w:val="32"/>
          <w:szCs w:val="32"/>
        </w:rPr>
        <w:t>十二、各商业银行应当配合房产管理部门，依托房产交易便民服务网点和“房帮宁”平台，推动存量房交易“一件事”改革，逐步构建“自主交易+资金监管+公证提存+银行贷款”全流程多元化服务场景，为购房人提供更便捷、高效、安全的服务。</w:t>
      </w:r>
    </w:p>
    <w:p>
      <w:pPr>
        <w:ind w:firstLineChars="200" w:firstLine="640"/>
        <w:rPr>
          <w:rFonts w:ascii="仿宋_GB2312" w:eastAsia="仿宋_GB2312" w:cs="方正仿宋_GBK" w:hAnsi="方正仿宋_GBK"/>
          <w:color w:val="000000"/>
          <w:sz w:val="32"/>
          <w:szCs w:val="32"/>
        </w:rPr>
      </w:pPr>
      <w:r>
        <w:rPr>
          <w:rFonts w:ascii="仿宋_GB2312" w:eastAsia="仿宋_GB2312" w:cs="方正仿宋_GBK" w:hAnsi="方正仿宋_GBK" w:hint="eastAsia"/>
          <w:color w:val="000000"/>
          <w:sz w:val="32"/>
          <w:szCs w:val="32"/>
        </w:rPr>
        <w:t>十三、本通知自2023年</w:t>
      </w:r>
      <w:r>
        <w:rPr>
          <w:rFonts w:ascii="仿宋_GB2312" w:eastAsia="仿宋_GB2312" w:cs="方正仿宋_GBK" w:hAnsi="方正仿宋_GBK"/>
          <w:color w:val="000000"/>
          <w:sz w:val="32"/>
          <w:szCs w:val="32"/>
        </w:rPr>
        <w:t>12</w:t>
      </w:r>
      <w:r>
        <w:rPr>
          <w:rFonts w:ascii="仿宋_GB2312" w:eastAsia="仿宋_GB2312" w:cs="方正仿宋_GBK" w:hAnsi="方正仿宋_GBK" w:hint="eastAsia"/>
          <w:color w:val="000000"/>
          <w:sz w:val="32"/>
          <w:szCs w:val="32"/>
        </w:rPr>
        <w:t>月</w:t>
      </w:r>
      <w:r>
        <w:rPr>
          <w:rFonts w:ascii="仿宋_GB2312" w:eastAsia="仿宋_GB2312" w:cs="方正仿宋_GBK" w:hAnsi="方正仿宋_GBK"/>
          <w:color w:val="000000"/>
          <w:sz w:val="32"/>
          <w:szCs w:val="32"/>
        </w:rPr>
        <w:t>1</w:t>
      </w:r>
      <w:r>
        <w:rPr>
          <w:rFonts w:ascii="仿宋_GB2312" w:eastAsia="仿宋_GB2312" w:cs="方正仿宋_GBK" w:hAnsi="方正仿宋_GBK" w:hint="eastAsia"/>
          <w:color w:val="000000"/>
          <w:sz w:val="32"/>
          <w:szCs w:val="32"/>
        </w:rPr>
        <w:t>日起施行，有效期至2</w:t>
      </w:r>
      <w:r>
        <w:rPr>
          <w:rFonts w:ascii="仿宋_GB2312" w:eastAsia="仿宋_GB2312" w:cs="方正仿宋_GBK" w:hAnsi="方正仿宋_GBK"/>
          <w:color w:val="000000"/>
          <w:sz w:val="32"/>
          <w:szCs w:val="32"/>
        </w:rPr>
        <w:t>028</w:t>
      </w:r>
      <w:r>
        <w:rPr>
          <w:rFonts w:ascii="仿宋_GB2312" w:eastAsia="仿宋_GB2312" w:cs="方正仿宋_GBK" w:hAnsi="方正仿宋_GBK" w:hint="eastAsia"/>
          <w:color w:val="000000"/>
          <w:sz w:val="32"/>
          <w:szCs w:val="32"/>
        </w:rPr>
        <w:t>年</w:t>
      </w:r>
      <w:r>
        <w:rPr>
          <w:rFonts w:ascii="仿宋_GB2312" w:eastAsia="仿宋_GB2312" w:cs="方正仿宋_GBK" w:hAnsi="方正仿宋_GBK"/>
          <w:color w:val="000000"/>
          <w:sz w:val="32"/>
          <w:szCs w:val="32"/>
        </w:rPr>
        <w:t>11</w:t>
      </w:r>
      <w:r>
        <w:rPr>
          <w:rFonts w:ascii="仿宋_GB2312" w:eastAsia="仿宋_GB2312" w:cs="方正仿宋_GBK" w:hAnsi="方正仿宋_GBK" w:hint="eastAsia"/>
          <w:color w:val="000000"/>
          <w:sz w:val="32"/>
          <w:szCs w:val="32"/>
        </w:rPr>
        <w:t>月</w:t>
      </w:r>
      <w:r>
        <w:rPr>
          <w:rFonts w:ascii="仿宋_GB2312" w:eastAsia="仿宋_GB2312" w:cs="方正仿宋_GBK" w:hAnsi="方正仿宋_GBK"/>
          <w:color w:val="000000"/>
          <w:sz w:val="32"/>
          <w:szCs w:val="32"/>
        </w:rPr>
        <w:t>30</w:t>
      </w:r>
      <w:r>
        <w:rPr>
          <w:rFonts w:ascii="仿宋_GB2312" w:eastAsia="仿宋_GB2312" w:cs="方正仿宋_GBK" w:hAnsi="方正仿宋_GBK" w:hint="eastAsia"/>
          <w:color w:val="000000"/>
          <w:sz w:val="32"/>
          <w:szCs w:val="32"/>
        </w:rPr>
        <w:t>日。</w:t>
      </w:r>
    </w:p>
    <w:p>
      <w:pPr>
        <w:rPr>
          <w:rFonts w:ascii="仿宋_GB2312" w:eastAsia="仿宋_GB2312" w:cs="方正仿宋_GBK" w:hAnsi="方正仿宋_GBK"/>
          <w:color w:val="000000"/>
          <w:sz w:val="32"/>
          <w:szCs w:val="32"/>
        </w:rPr>
      </w:pPr>
    </w:p>
    <w:p>
      <w:pPr>
        <w:rPr>
          <w:rFonts w:ascii="仿宋_GB2312" w:eastAsia="仿宋_GB2312" w:cs="方正仿宋_GBK" w:hAnsi="方正仿宋_GBK"/>
          <w:color w:val="000000"/>
          <w:sz w:val="32"/>
          <w:szCs w:val="32"/>
        </w:rPr>
      </w:pPr>
    </w:p>
    <w:p>
      <w:pPr>
        <w:rPr>
          <w:rFonts w:ascii="仿宋_GB2312" w:eastAsia="仿宋_GB2312" w:cs="方正仿宋_GBK" w:hAnsi="方正仿宋_GBK"/>
          <w:color w:val="000000"/>
          <w:sz w:val="32"/>
          <w:szCs w:val="32"/>
        </w:rPr>
      </w:pPr>
    </w:p>
    <w:p>
      <w:pPr>
        <w:ind w:firstLineChars="800" w:firstLine="2560"/>
        <w:rPr>
          <w:rFonts w:ascii="仿宋_GB2312" w:eastAsia="仿宋_GB2312" w:cs="方正仿宋_GBK" w:hAnsi="方正仿宋_GBK"/>
          <w:color w:val="000000"/>
          <w:sz w:val="32"/>
          <w:szCs w:val="32"/>
        </w:rPr>
      </w:pPr>
      <w:r>
        <w:rPr>
          <w:rFonts w:ascii="仿宋_GB2312" w:eastAsia="仿宋_GB2312" w:cs="方正仿宋_GBK" w:hAnsi="方正仿宋_GBK" w:hint="eastAsia"/>
          <w:color w:val="000000"/>
          <w:sz w:val="32"/>
          <w:szCs w:val="32"/>
        </w:rPr>
        <w:t>南京市住房保障和房产局</w:t>
      </w:r>
    </w:p>
    <w:p>
      <w:pPr>
        <w:ind w:firstLineChars="800" w:firstLine="2560"/>
        <w:rPr>
          <w:rFonts w:ascii="仿宋_GB2312" w:eastAsia="仿宋_GB2312" w:cs="方正仿宋_GBK" w:hAnsi="方正仿宋_GBK"/>
          <w:color w:val="000000"/>
          <w:sz w:val="32"/>
          <w:szCs w:val="32"/>
        </w:rPr>
      </w:pPr>
      <w:r>
        <w:rPr>
          <w:rFonts w:ascii="仿宋_GB2312" w:eastAsia="仿宋_GB2312" w:cs="方正仿宋_GBK" w:hAnsi="方正仿宋_GBK" w:hint="eastAsia"/>
          <w:color w:val="000000"/>
          <w:sz w:val="32"/>
          <w:szCs w:val="32"/>
        </w:rPr>
        <w:t>国家金融监督管理总局江苏监管局</w:t>
      </w:r>
    </w:p>
    <w:p>
      <w:pPr>
        <w:ind w:firstLineChars="700" w:firstLine="2240"/>
        <w:rPr>
          <w:rFonts w:ascii="仿宋_GB2312" w:eastAsia="仿宋_GB2312" w:cs="方正仿宋_GBK" w:hAnsi="方正仿宋_GBK"/>
          <w:color w:val="000000"/>
          <w:sz w:val="32"/>
          <w:szCs w:val="32"/>
        </w:rPr>
      </w:pPr>
      <w:r>
        <w:rPr>
          <w:rFonts w:ascii="仿宋_GB2312" w:eastAsia="仿宋_GB2312" w:cs="方正仿宋_GBK" w:hAnsi="方正仿宋_GBK" w:hint="eastAsia"/>
          <w:color w:val="000000"/>
          <w:sz w:val="32"/>
          <w:szCs w:val="32"/>
        </w:rPr>
        <w:t>中国人民银行江苏省分行营业管理部</w:t>
      </w:r>
    </w:p>
    <w:p>
      <w:pPr>
        <w:ind w:right="640" w:firstLineChars="200" w:firstLine="640"/>
        <w:jc w:val="center"/>
        <w:rPr>
          <w:rFonts w:ascii="仿宋_GB2312" w:eastAsia="仿宋_GB2312" w:cs="方正仿宋_GBK" w:hAnsi="方正仿宋_GBK"/>
          <w:color w:val="000000"/>
          <w:sz w:val="32"/>
          <w:szCs w:val="32"/>
        </w:rPr>
      </w:pPr>
      <w:r>
        <w:rPr>
          <w:rFonts w:ascii="仿宋_GB2312" w:eastAsia="仿宋_GB2312" w:cs="方正仿宋_GBK" w:hAnsi="方正仿宋_GBK" w:hint="eastAsia"/>
          <w:color w:val="000000"/>
          <w:sz w:val="32"/>
          <w:szCs w:val="32"/>
        </w:rPr>
        <w:t xml:space="preserve">          </w:t>
      </w:r>
      <w:r>
        <w:rPr>
          <w:rFonts w:ascii="仿宋_GB2312" w:eastAsia="仿宋_GB2312" w:cs="方正仿宋_GBK" w:hAnsi="方正仿宋_GBK"/>
          <w:color w:val="000000"/>
          <w:sz w:val="32"/>
          <w:szCs w:val="32"/>
        </w:rPr>
        <w:t xml:space="preserve">                 </w:t>
      </w:r>
      <w:r>
        <w:rPr>
          <w:rFonts w:ascii="仿宋_GB2312" w:eastAsia="仿宋_GB2312" w:cs="方正仿宋_GBK" w:hAnsi="方正仿宋_GBK" w:hint="eastAsia"/>
          <w:color w:val="000000"/>
          <w:sz w:val="32"/>
          <w:szCs w:val="32"/>
        </w:rPr>
        <w:t xml:space="preserve"> 2023年</w:t>
      </w:r>
      <w:r>
        <w:rPr>
          <w:rFonts w:ascii="仿宋_GB2312" w:eastAsia="仿宋_GB2312" w:cs="方正仿宋_GBK" w:hAnsi="方正仿宋_GBK"/>
          <w:color w:val="000000"/>
          <w:sz w:val="32"/>
          <w:szCs w:val="32"/>
        </w:rPr>
        <w:t>10</w:t>
      </w:r>
      <w:r>
        <w:rPr>
          <w:rFonts w:ascii="仿宋_GB2312" w:eastAsia="仿宋_GB2312" w:cs="方正仿宋_GBK" w:hAnsi="方正仿宋_GBK" w:hint="eastAsia"/>
          <w:color w:val="000000"/>
          <w:sz w:val="32"/>
          <w:szCs w:val="32"/>
        </w:rPr>
        <w:t>月</w:t>
      </w:r>
      <w:r>
        <w:rPr>
          <w:rFonts w:ascii="仿宋_GB2312" w:eastAsia="仿宋_GB2312" w:cs="方正仿宋_GBK" w:hAnsi="方正仿宋_GBK"/>
          <w:color w:val="000000"/>
          <w:sz w:val="32"/>
          <w:szCs w:val="32"/>
        </w:rPr>
        <w:t>13</w:t>
      </w:r>
      <w:r>
        <w:rPr>
          <w:rFonts w:ascii="仿宋_GB2312" w:eastAsia="仿宋_GB2312" w:cs="方正仿宋_GBK" w:hAnsi="方正仿宋_GBK" w:hint="eastAsia"/>
          <w:color w:val="000000"/>
          <w:sz w:val="32"/>
          <w:szCs w:val="32"/>
        </w:rPr>
        <w:t>日</w:t>
      </w:r>
    </w:p>
    <w:p>
      <w:pPr>
        <w:rPr>
          <w:rFonts w:ascii="仿宋_GB2312" w:eastAsia="仿宋_GB2312" w:cs="Times New Roman" w:hAnsi="等线"/>
          <w:sz w:val="32"/>
          <w:szCs w:val="32"/>
        </w:rPr>
      </w:pPr>
      <w:r>
        <w:rPr>
          <w:rFonts w:ascii="仿宋_GB2312" w:eastAsia="仿宋_GB2312" w:cs="Times New Roman" w:hAnsi="等线"/>
          <w:sz w:val="32"/>
          <w:szCs w:val="32"/>
        </w:rPr>
        <w:br w:type="page"/>
      </w:r>
    </w:p>
    <w:p>
      <w:pPr>
        <w:ind w:firstLineChars="4100" w:firstLine="8610"/>
        <w:rPr>
          <w:rFonts w:ascii="Times New Roman" w:eastAsia="宋体" w:cs="Times New Roman" w:hAnsi="Times New Roman"/>
          <w:szCs w:val="24"/>
        </w:rPr>
      </w:pPr>
    </w:p>
    <w:p>
      <w:pPr>
        <w:adjustRightInd w:val="0"/>
        <w:snapToGrid w:val="0"/>
        <w:spacing w:line="560" w:lineRule="exact"/>
        <w:jc w:val="center"/>
        <w:rPr>
          <w:rFonts w:ascii="方正小标宋_GBK" w:eastAsia="方正小标宋_GBK" w:cs="方正小标宋_GBK" w:hAnsi="方正小标宋_GBK" w:hint="eastAsia"/>
          <w:sz w:val="44"/>
          <w:szCs w:val="44"/>
          <w:lang w:val="en-US" w:eastAsia="zh-CN"/>
        </w:rPr>
      </w:pPr>
      <w:r>
        <w:rPr>
          <w:rFonts w:ascii="方正小标宋_GBK" w:eastAsia="方正小标宋_GBK" w:cs="方正小标宋_GBK" w:hAnsi="方正小标宋_GBK" w:hint="eastAsia"/>
          <w:sz w:val="44"/>
          <w:szCs w:val="44"/>
        </w:rPr>
        <w:t>关于印发《关于住宅小区部门执法清单化管理的工作方案》的</w:t>
      </w:r>
      <w:r>
        <w:rPr>
          <w:rFonts w:ascii="方正小标宋_GBK" w:eastAsia="方正小标宋_GBK" w:cs="方正小标宋_GBK" w:hAnsi="方正小标宋_GBK" w:hint="eastAsia"/>
          <w:sz w:val="44"/>
          <w:szCs w:val="44"/>
          <w:lang w:val="en-US" w:eastAsia="zh-CN"/>
        </w:rPr>
        <w:t>通知</w:t>
      </w:r>
    </w:p>
    <w:p>
      <w:pPr>
        <w:spacing w:line="560" w:lineRule="exact"/>
        <w:jc w:val="center"/>
        <w:rPr>
          <w:rFonts w:ascii="Times New Roman" w:eastAsia="方正楷体_GB2312" w:cs="Times New Roman" w:hAnsi="Times New Roman"/>
          <w:sz w:val="32"/>
          <w:szCs w:val="32"/>
        </w:rPr>
      </w:pPr>
      <w:r>
        <w:rPr>
          <w:rFonts w:ascii="Times New Roman" w:eastAsia="仿宋_GB2312" w:cs="Times New Roman" w:hAnsi="Times New Roman"/>
          <w:sz w:val="32"/>
          <w:szCs w:val="32"/>
          <w:lang w:bidi="ar-SA"/>
        </w:rPr>
        <w:t>宁房</w:t>
      </w:r>
      <w:r>
        <w:rPr>
          <w:rFonts w:ascii="Times New Roman" w:eastAsia="仿宋_GB2312" w:cs="Times New Roman" w:hAnsi="Times New Roman" w:hint="eastAsia"/>
          <w:sz w:val="32"/>
          <w:szCs w:val="32"/>
          <w:lang w:val="en-US" w:eastAsia="zh-CN" w:bidi="ar-SA"/>
        </w:rPr>
        <w:t>规</w:t>
      </w:r>
      <w:r>
        <w:rPr>
          <w:rFonts w:ascii="Times New Roman" w:eastAsia="仿宋_GB2312" w:cs="Times New Roman" w:hAnsi="Times New Roman"/>
          <w:sz w:val="32"/>
          <w:szCs w:val="32"/>
          <w:lang w:bidi="ar-SA"/>
        </w:rPr>
        <w:t>〔202</w:t>
      </w:r>
      <w:r>
        <w:rPr>
          <w:rFonts w:ascii="Times New Roman" w:eastAsia="仿宋_GB2312" w:cs="Times New Roman" w:hAnsi="Times New Roman" w:hint="eastAsia"/>
          <w:sz w:val="32"/>
          <w:szCs w:val="32"/>
          <w:lang w:val="en-US" w:eastAsia="zh-CN" w:bidi="ar-SA"/>
        </w:rPr>
        <w:t>6</w:t>
      </w:r>
      <w:r>
        <w:rPr>
          <w:rFonts w:ascii="Times New Roman" w:eastAsia="仿宋_GB2312" w:cs="Times New Roman" w:hAnsi="Times New Roman"/>
          <w:sz w:val="32"/>
          <w:szCs w:val="32"/>
          <w:lang w:bidi="ar-SA"/>
        </w:rPr>
        <w:t>〕</w:t>
      </w:r>
      <w:r>
        <w:rPr>
          <w:rFonts w:ascii="Times New Roman" w:eastAsia="宋体" w:cs="Times New Roman" w:hAnsi="Times New Roman"/>
          <w:sz w:val="32"/>
          <w:szCs w:val="32"/>
          <w:lang w:val="en-US" w:eastAsia="zh-CN" w:bidi="ar-SA"/>
        </w:rPr>
        <w:t>1</w:t>
      </w:r>
      <w:r>
        <w:rPr>
          <w:rFonts w:ascii="Times New Roman" w:eastAsia="仿宋_GB2312" w:cs="Times New Roman" w:hAnsi="Times New Roman"/>
          <w:sz w:val="32"/>
          <w:szCs w:val="32"/>
          <w:lang w:bidi="ar-SA"/>
        </w:rPr>
        <w:t>号</w:t>
      </w:r>
    </w:p>
    <w:p>
      <w:pPr>
        <w:spacing w:line="560" w:lineRule="exact"/>
        <w:rPr>
          <w:rFonts w:ascii="Times New Roman" w:eastAsia="方正仿宋_GBK" w:cs="Times New Roman" w:hAnsi="Times New Roman" w:hint="eastAsia"/>
          <w:sz w:val="32"/>
          <w:szCs w:val="32"/>
          <w:lang w:eastAsia="zh-CN"/>
        </w:rPr>
      </w:pPr>
    </w:p>
    <w:p>
      <w:pPr>
        <w:spacing w:line="560" w:lineRule="exact"/>
        <w:rPr>
          <w:rFonts w:ascii="仿宋" w:eastAsia="仿宋" w:cs="仿宋" w:hAnsi="仿宋" w:hint="eastAsia"/>
          <w:sz w:val="32"/>
          <w:szCs w:val="32"/>
        </w:rPr>
      </w:pPr>
      <w:r>
        <w:rPr>
          <w:rFonts w:ascii="仿宋" w:eastAsia="仿宋" w:cs="仿宋" w:hAnsi="仿宋" w:hint="eastAsia"/>
          <w:sz w:val="32"/>
          <w:szCs w:val="32"/>
          <w:lang w:eastAsia="zh-CN"/>
        </w:rPr>
        <w:t>各区人民政府，江北新区管委会，市各相关单位</w:t>
      </w:r>
      <w:r>
        <w:rPr>
          <w:rFonts w:ascii="仿宋" w:eastAsia="仿宋" w:cs="仿宋" w:hAnsi="仿宋" w:hint="eastAsia"/>
          <w:sz w:val="32"/>
          <w:szCs w:val="32"/>
        </w:rPr>
        <w:t>：</w:t>
      </w:r>
    </w:p>
    <w:p>
      <w:pPr>
        <w:spacing w:line="560" w:lineRule="exact"/>
        <w:ind w:firstLineChars="200" w:firstLine="640"/>
        <w:rPr>
          <w:rFonts w:ascii="仿宋" w:eastAsia="仿宋" w:cs="仿宋" w:hAnsi="仿宋" w:hint="eastAsia"/>
          <w:sz w:val="32"/>
          <w:szCs w:val="32"/>
        </w:rPr>
      </w:pPr>
      <w:r>
        <w:rPr>
          <w:rFonts w:ascii="仿宋" w:eastAsia="仿宋" w:cs="仿宋" w:hAnsi="仿宋" w:hint="eastAsia"/>
          <w:sz w:val="32"/>
          <w:szCs w:val="32"/>
          <w:lang w:eastAsia="zh-CN"/>
        </w:rPr>
        <w:t>经市政府同意，现将</w:t>
      </w:r>
      <w:r>
        <w:rPr>
          <w:rFonts w:ascii="仿宋" w:eastAsia="仿宋" w:cs="仿宋" w:hAnsi="仿宋" w:hint="eastAsia"/>
          <w:sz w:val="32"/>
          <w:szCs w:val="32"/>
        </w:rPr>
        <w:t>《关于住宅小区部门执法清单化管理的工作方案》</w:t>
      </w:r>
      <w:r>
        <w:rPr>
          <w:rFonts w:ascii="仿宋" w:eastAsia="仿宋" w:cs="仿宋" w:hAnsi="仿宋" w:hint="eastAsia"/>
          <w:sz w:val="32"/>
          <w:szCs w:val="32"/>
          <w:lang w:eastAsia="zh-CN"/>
        </w:rPr>
        <w:t>印发给你们，</w:t>
      </w:r>
      <w:r>
        <w:rPr>
          <w:rFonts w:ascii="仿宋" w:eastAsia="仿宋" w:cs="仿宋" w:hAnsi="仿宋" w:hint="eastAsia"/>
          <w:i w:val="0"/>
          <w:iCs w:val="0"/>
          <w:caps w:val="0"/>
          <w:smallCaps w:val="0"/>
          <w:spacing w:val="0"/>
          <w:sz w:val="32"/>
          <w:szCs w:val="32"/>
          <w:shd w:val="clear" w:color="auto" w:fill="auto"/>
        </w:rPr>
        <w:t>请结合实际认真贯彻执行</w:t>
      </w:r>
      <w:r>
        <w:rPr>
          <w:rFonts w:ascii="仿宋" w:eastAsia="仿宋" w:cs="仿宋" w:hAnsi="仿宋" w:hint="eastAsia"/>
          <w:sz w:val="32"/>
          <w:szCs w:val="32"/>
        </w:rPr>
        <w:t>。</w:t>
      </w:r>
    </w:p>
    <w:p>
      <w:pPr>
        <w:spacing w:line="560" w:lineRule="exact"/>
        <w:rPr>
          <w:rFonts w:ascii="仿宋" w:eastAsia="仿宋" w:cs="仿宋" w:hAnsi="仿宋" w:hint="eastAsia"/>
          <w:sz w:val="32"/>
          <w:szCs w:val="32"/>
        </w:rPr>
      </w:pPr>
    </w:p>
    <w:p>
      <w:pPr>
        <w:spacing w:line="560" w:lineRule="exact"/>
        <w:rPr>
          <w:rFonts w:ascii="仿宋" w:eastAsia="仿宋" w:cs="仿宋" w:hAnsi="仿宋" w:hint="eastAsia"/>
          <w:sz w:val="32"/>
          <w:szCs w:val="32"/>
        </w:rPr>
      </w:pPr>
    </w:p>
    <w:p>
      <w:pPr>
        <w:ind w:firstLineChars="200" w:firstLine="640"/>
        <w:rPr>
          <w:rFonts w:ascii="仿宋" w:eastAsia="仿宋" w:cs="仿宋" w:hAnsi="仿宋" w:hint="eastAsia"/>
          <w:sz w:val="32"/>
          <w:szCs w:val="24"/>
          <w:shd w:val="clear" w:color="auto" w:fill="auto"/>
          <w:lang w:bidi="ar-SA"/>
        </w:rPr>
      </w:pPr>
    </w:p>
    <w:p>
      <w:pPr>
        <w:ind w:firstLineChars="1200" w:firstLine="3840"/>
        <w:rPr>
          <w:rFonts w:ascii="仿宋" w:eastAsia="仿宋" w:cs="仿宋" w:hAnsi="仿宋" w:hint="eastAsia"/>
          <w:sz w:val="32"/>
          <w:szCs w:val="24"/>
          <w:shd w:val="clear" w:color="auto" w:fill="auto"/>
          <w:lang w:eastAsia="zh-CN" w:bidi="ar-SA"/>
        </w:rPr>
      </w:pPr>
      <w:r>
        <w:rPr>
          <w:rFonts w:ascii="仿宋" w:eastAsia="仿宋" w:cs="仿宋" w:hAnsi="仿宋" w:hint="eastAsia"/>
          <w:sz w:val="32"/>
          <w:szCs w:val="24"/>
          <w:shd w:val="clear" w:color="auto" w:fill="auto"/>
          <w:lang w:bidi="ar-SA"/>
        </w:rPr>
        <w:t>南京市住房保障和房产局</w:t>
      </w:r>
    </w:p>
    <w:p>
      <w:pPr>
        <w:jc w:val="center"/>
        <w:rPr>
          <w:rFonts w:ascii="仿宋" w:eastAsia="仿宋" w:cs="仿宋" w:hAnsi="仿宋" w:hint="eastAsia"/>
          <w:sz w:val="32"/>
          <w:szCs w:val="24"/>
          <w:shd w:val="clear" w:color="auto" w:fill="auto"/>
          <w:lang w:bidi="ar-SA"/>
        </w:rPr>
      </w:pPr>
      <w:r>
        <w:rPr>
          <w:rFonts w:ascii="仿宋" w:eastAsia="仿宋" w:cs="仿宋" w:hAnsi="仿宋" w:hint="eastAsia"/>
          <w:sz w:val="32"/>
          <w:szCs w:val="24"/>
          <w:shd w:val="clear" w:color="auto" w:fill="auto"/>
          <w:lang w:val="en-US" w:eastAsia="zh-CN" w:bidi="ar-SA"/>
        </w:rPr>
        <w:t xml:space="preserve">                     </w:t>
      </w:r>
      <w:r>
        <w:rPr>
          <w:rFonts w:ascii="仿宋" w:eastAsia="仿宋" w:cs="仿宋" w:hAnsi="仿宋" w:hint="eastAsia"/>
          <w:sz w:val="32"/>
          <w:szCs w:val="24"/>
          <w:shd w:val="clear" w:color="auto" w:fill="auto"/>
          <w:lang w:bidi="ar-SA"/>
        </w:rPr>
        <w:t>202</w:t>
      </w:r>
      <w:r>
        <w:rPr>
          <w:rFonts w:ascii="仿宋" w:eastAsia="仿宋" w:cs="仿宋" w:hAnsi="仿宋" w:hint="eastAsia"/>
          <w:sz w:val="32"/>
          <w:szCs w:val="24"/>
          <w:shd w:val="clear" w:color="auto" w:fill="auto"/>
          <w:lang w:val="en-US" w:eastAsia="zh-CN" w:bidi="ar-SA"/>
        </w:rPr>
        <w:t>6</w:t>
      </w:r>
      <w:r>
        <w:rPr>
          <w:rFonts w:ascii="仿宋" w:eastAsia="仿宋" w:cs="仿宋" w:hAnsi="仿宋" w:hint="eastAsia"/>
          <w:sz w:val="32"/>
          <w:szCs w:val="24"/>
          <w:shd w:val="clear" w:color="auto" w:fill="auto"/>
          <w:lang w:bidi="ar-SA"/>
        </w:rPr>
        <w:t>年</w:t>
      </w:r>
      <w:r>
        <w:rPr>
          <w:rFonts w:ascii="仿宋" w:eastAsia="仿宋" w:cs="仿宋" w:hAnsi="仿宋" w:hint="eastAsia"/>
          <w:sz w:val="32"/>
          <w:szCs w:val="24"/>
          <w:shd w:val="clear" w:color="auto" w:fill="auto"/>
          <w:lang w:val="en-US" w:eastAsia="zh-CN" w:bidi="ar-SA"/>
        </w:rPr>
        <w:t>4</w:t>
      </w:r>
      <w:r>
        <w:rPr>
          <w:rFonts w:ascii="仿宋" w:eastAsia="仿宋" w:cs="仿宋" w:hAnsi="仿宋" w:hint="eastAsia"/>
          <w:sz w:val="32"/>
          <w:szCs w:val="24"/>
          <w:shd w:val="clear" w:color="auto" w:fill="auto"/>
          <w:lang w:bidi="ar-SA"/>
        </w:rPr>
        <w:t>月</w:t>
      </w:r>
      <w:r>
        <w:rPr>
          <w:rFonts w:ascii="仿宋" w:eastAsia="仿宋" w:cs="仿宋" w:hAnsi="仿宋" w:hint="eastAsia"/>
          <w:sz w:val="32"/>
          <w:szCs w:val="24"/>
          <w:shd w:val="clear" w:color="auto" w:fill="auto"/>
          <w:lang w:val="en-US" w:eastAsia="zh-CN" w:bidi="ar-SA"/>
        </w:rPr>
        <w:t>30</w:t>
      </w:r>
      <w:r>
        <w:rPr>
          <w:rFonts w:ascii="仿宋" w:eastAsia="仿宋" w:cs="仿宋" w:hAnsi="仿宋" w:hint="eastAsia"/>
          <w:sz w:val="32"/>
          <w:szCs w:val="24"/>
          <w:shd w:val="clear" w:color="auto" w:fill="auto"/>
          <w:lang w:bidi="ar-SA"/>
        </w:rPr>
        <w:t>日</w:t>
      </w:r>
    </w:p>
    <w:p>
      <w:pPr>
        <w:rPr>
          <w:rFonts w:ascii="Times New Roman" w:eastAsia="方正仿宋_GBK" w:cs="Times New Roman" w:hAnsi="Times New Roman" w:hint="eastAsia"/>
          <w:color w:val="000000"/>
          <w:kern w:val="0"/>
          <w:sz w:val="32"/>
          <w:szCs w:val="32"/>
          <w:lang w:val="en-US" w:eastAsia="zh-CN"/>
        </w:rPr>
      </w:pPr>
      <w:r>
        <w:rPr>
          <w:rFonts w:ascii="Times New Roman" w:eastAsia="方正仿宋_GBK" w:cs="Times New Roman" w:hAnsi="Times New Roman" w:hint="eastAsia"/>
          <w:color w:val="000000"/>
          <w:kern w:val="0"/>
          <w:sz w:val="32"/>
          <w:szCs w:val="32"/>
          <w:lang w:val="en-US" w:eastAsia="zh-CN"/>
        </w:rPr>
        <w:br w:type="page"/>
      </w:r>
    </w:p>
    <w:p>
      <w:pPr>
        <w:spacing w:line="600" w:lineRule="exact"/>
        <w:jc w:val="center"/>
        <w:rPr>
          <w:rFonts w:ascii="方正小标宋_GBK" w:eastAsia="方正小标宋_GBK" w:cs="方正小标宋_GBK" w:hAnsi="方正小标宋_GBK" w:hint="eastAsia"/>
          <w:sz w:val="44"/>
          <w:szCs w:val="44"/>
          <w:lang w:eastAsia="zh-CN"/>
        </w:rPr>
      </w:pPr>
      <w:r>
        <w:rPr>
          <w:rFonts w:ascii="方正小标宋_GBK" w:eastAsia="方正小标宋_GBK" w:cs="方正小标宋_GBK" w:hAnsi="方正小标宋_GBK" w:hint="eastAsia"/>
          <w:sz w:val="44"/>
          <w:szCs w:val="44"/>
        </w:rPr>
        <w:t>关于住宅小区</w:t>
      </w:r>
      <w:r>
        <w:rPr>
          <w:rFonts w:ascii="方正小标宋_GBK" w:eastAsia="方正小标宋_GBK" w:cs="方正小标宋_GBK" w:hAnsi="方正小标宋_GBK" w:hint="eastAsia"/>
          <w:sz w:val="44"/>
          <w:szCs w:val="44"/>
          <w:lang w:eastAsia="zh-CN"/>
        </w:rPr>
        <w:t>部门执法清单化</w:t>
      </w:r>
      <w:r>
        <w:rPr>
          <w:rFonts w:ascii="方正小标宋_GBK" w:eastAsia="方正小标宋_GBK" w:cs="方正小标宋_GBK" w:hAnsi="方正小标宋_GBK" w:hint="eastAsia"/>
          <w:sz w:val="44"/>
          <w:szCs w:val="44"/>
        </w:rPr>
        <w:t>管理</w:t>
      </w:r>
      <w:r>
        <w:rPr>
          <w:rFonts w:ascii="方正小标宋_GBK" w:eastAsia="方正小标宋_GBK" w:cs="方正小标宋_GBK" w:hAnsi="方正小标宋_GBK" w:hint="eastAsia"/>
          <w:sz w:val="44"/>
          <w:szCs w:val="44"/>
          <w:lang w:eastAsia="zh-CN"/>
        </w:rPr>
        <w:t>的</w:t>
      </w:r>
    </w:p>
    <w:p>
      <w:pPr>
        <w:spacing w:line="600" w:lineRule="exact"/>
        <w:jc w:val="center"/>
        <w:rPr>
          <w:rFonts w:ascii="方正小标宋_GBK" w:eastAsia="方正小标宋_GBK" w:cs="方正小标宋_GBK" w:hAnsi="方正小标宋_GBK" w:hint="eastAsia"/>
          <w:sz w:val="44"/>
          <w:szCs w:val="44"/>
        </w:rPr>
      </w:pPr>
      <w:r>
        <w:rPr>
          <w:rFonts w:ascii="方正小标宋_GBK" w:eastAsia="方正小标宋_GBK" w:cs="方正小标宋_GBK" w:hAnsi="方正小标宋_GBK" w:hint="eastAsia"/>
          <w:sz w:val="44"/>
          <w:szCs w:val="44"/>
        </w:rPr>
        <w:t>工作方案</w:t>
      </w:r>
    </w:p>
    <w:p>
      <w:pPr>
        <w:spacing w:line="600" w:lineRule="exact"/>
        <w:jc w:val="center"/>
        <w:rPr>
          <w:rFonts w:ascii="方正楷体_GBK" w:eastAsia="方正楷体_GBK" w:cs="方正楷体_GBK" w:hAnsi="方正楷体_GBK" w:hint="eastAsia"/>
          <w:color w:val="000000"/>
          <w:kern w:val="0"/>
          <w:sz w:val="32"/>
          <w:szCs w:val="32"/>
          <w:lang w:val="en-US" w:eastAsia="zh-CN"/>
        </w:rPr>
      </w:pPr>
    </w:p>
    <w:p>
      <w:pPr>
        <w:widowControl/>
        <w:spacing w:line="560" w:lineRule="exact"/>
        <w:ind w:firstLineChars="200" w:firstLine="640"/>
        <w:rPr>
          <w:rFonts w:ascii="Times New Roman" w:eastAsia="方正仿宋_GBK" w:cs="Times New Roman" w:hAnsi="Times New Roman"/>
          <w:color w:val="000000"/>
          <w:kern w:val="0"/>
          <w:sz w:val="32"/>
          <w:szCs w:val="32"/>
        </w:rPr>
      </w:pPr>
      <w:r>
        <w:rPr>
          <w:rFonts w:ascii="仿宋" w:eastAsia="仿宋" w:cs="仿宋" w:hAnsi="仿宋" w:hint="eastAsia"/>
          <w:color w:val="000000"/>
          <w:kern w:val="0"/>
          <w:sz w:val="32"/>
          <w:szCs w:val="32"/>
        </w:rPr>
        <w:t>为贯彻落实《</w:t>
      </w:r>
      <w:bookmarkStart w:id="12" w:name="OLE_LINK2"/>
      <w:bookmarkStart w:id="13" w:name="OLE_LINK1"/>
      <w:r>
        <w:rPr>
          <w:rFonts w:ascii="仿宋" w:eastAsia="仿宋" w:cs="仿宋" w:hAnsi="仿宋" w:hint="eastAsia"/>
          <w:color w:val="000000"/>
          <w:kern w:val="0"/>
          <w:sz w:val="32"/>
          <w:szCs w:val="32"/>
        </w:rPr>
        <w:t>南京市住宅物业管理条例</w:t>
      </w:r>
      <w:bookmarkEnd w:id="12"/>
      <w:bookmarkEnd w:id="13"/>
      <w:r>
        <w:rPr>
          <w:rFonts w:ascii="仿宋" w:eastAsia="仿宋" w:cs="仿宋" w:hAnsi="仿宋" w:hint="eastAsia"/>
          <w:color w:val="000000"/>
          <w:kern w:val="0"/>
          <w:sz w:val="32"/>
          <w:szCs w:val="32"/>
        </w:rPr>
        <w:t>》，</w:t>
      </w:r>
      <w:r>
        <w:rPr>
          <w:rFonts w:ascii="仿宋" w:eastAsia="仿宋" w:cs="仿宋" w:hAnsi="仿宋" w:hint="eastAsia"/>
          <w:color w:val="000000"/>
          <w:sz w:val="32"/>
          <w:szCs w:val="32"/>
        </w:rPr>
        <w:t>加强对住宅小区</w:t>
      </w:r>
      <w:r>
        <w:rPr>
          <w:rFonts w:ascii="仿宋" w:eastAsia="仿宋" w:cs="仿宋" w:hAnsi="仿宋" w:hint="eastAsia"/>
          <w:color w:val="000000"/>
          <w:sz w:val="32"/>
          <w:szCs w:val="32"/>
          <w:lang w:eastAsia="zh-CN"/>
        </w:rPr>
        <w:t>部门执法清单化</w:t>
      </w:r>
      <w:r>
        <w:rPr>
          <w:rFonts w:ascii="仿宋" w:eastAsia="仿宋" w:cs="仿宋" w:hAnsi="仿宋" w:hint="eastAsia"/>
          <w:color w:val="000000"/>
          <w:kern w:val="0"/>
          <w:sz w:val="32"/>
          <w:szCs w:val="32"/>
        </w:rPr>
        <w:t>管理，营造良好的生活居住环境，</w:t>
      </w:r>
      <w:r>
        <w:rPr>
          <w:rFonts w:ascii="仿宋" w:eastAsia="仿宋" w:cs="仿宋" w:hAnsi="仿宋" w:hint="eastAsia"/>
          <w:color w:val="000000"/>
          <w:sz w:val="32"/>
          <w:szCs w:val="32"/>
          <w:shd w:val="clear" w:color="auto" w:fill="FFFFFF"/>
        </w:rPr>
        <w:t>结合我市实际制定以下实施方案</w:t>
      </w:r>
      <w:r>
        <w:rPr>
          <w:rFonts w:ascii="仿宋" w:eastAsia="仿宋" w:cs="仿宋" w:hAnsi="仿宋" w:hint="eastAsia"/>
          <w:color w:val="000000"/>
          <w:kern w:val="0"/>
          <w:sz w:val="32"/>
          <w:szCs w:val="32"/>
        </w:rPr>
        <w:t>：</w:t>
      </w:r>
    </w:p>
    <w:p>
      <w:pPr>
        <w:widowControl/>
        <w:spacing w:line="560" w:lineRule="exact"/>
        <w:ind w:firstLineChars="200" w:firstLine="640"/>
        <w:rPr>
          <w:rFonts w:ascii="黑体" w:eastAsia="黑体" w:cs="黑体" w:hAnsi="黑体" w:hint="eastAsia"/>
          <w:color w:val="000000"/>
          <w:kern w:val="0"/>
          <w:sz w:val="32"/>
          <w:szCs w:val="32"/>
        </w:rPr>
      </w:pPr>
      <w:r>
        <w:rPr>
          <w:rFonts w:ascii="黑体" w:eastAsia="黑体" w:cs="黑体" w:hAnsi="黑体" w:hint="eastAsia"/>
          <w:color w:val="000000"/>
          <w:kern w:val="0"/>
          <w:sz w:val="32"/>
          <w:szCs w:val="32"/>
        </w:rPr>
        <w:t>一、工作目标</w:t>
      </w:r>
    </w:p>
    <w:p>
      <w:pPr>
        <w:widowControl/>
        <w:spacing w:line="560" w:lineRule="exact"/>
        <w:ind w:firstLineChars="200" w:firstLine="640"/>
        <w:rPr>
          <w:rFonts w:ascii="仿宋" w:eastAsia="仿宋" w:cs="仿宋" w:hAnsi="仿宋" w:hint="eastAsia"/>
          <w:color w:val="000000"/>
          <w:kern w:val="0"/>
          <w:sz w:val="32"/>
          <w:szCs w:val="32"/>
        </w:rPr>
      </w:pPr>
      <w:r>
        <w:rPr>
          <w:rFonts w:ascii="仿宋" w:eastAsia="仿宋" w:cs="仿宋" w:hAnsi="仿宋" w:hint="eastAsia"/>
          <w:color w:val="000000"/>
          <w:kern w:val="0"/>
          <w:sz w:val="32"/>
          <w:szCs w:val="32"/>
        </w:rPr>
        <w:t>以构建住宅小区长效管理机制为目标，</w:t>
      </w:r>
      <w:r>
        <w:rPr>
          <w:rFonts w:ascii="仿宋" w:eastAsia="仿宋" w:cs="仿宋" w:hAnsi="仿宋" w:hint="eastAsia"/>
          <w:color w:val="000000"/>
          <w:kern w:val="0"/>
          <w:sz w:val="32"/>
          <w:szCs w:val="32"/>
          <w:lang w:val="en-US" w:eastAsia="zh-CN"/>
        </w:rPr>
        <w:t>深化部门协同、凝聚共治合力</w:t>
      </w:r>
      <w:r>
        <w:rPr>
          <w:rFonts w:ascii="仿宋" w:eastAsia="仿宋" w:cs="仿宋" w:hAnsi="仿宋" w:hint="eastAsia"/>
          <w:color w:val="000000"/>
          <w:kern w:val="0"/>
          <w:sz w:val="32"/>
          <w:szCs w:val="32"/>
        </w:rPr>
        <w:t>，聚焦群众反映强烈的共性诉求和基层治理难点痛点，通过“清单化管理”整合多元主体力量、优化协同治理路径，统筹发挥居民自治基础作用、物业服务专业效能和政府部门监管职能</w:t>
      </w:r>
      <w:r>
        <w:rPr>
          <w:rFonts w:ascii="仿宋" w:eastAsia="仿宋" w:cs="仿宋" w:hAnsi="仿宋" w:hint="eastAsia"/>
          <w:color w:val="000000"/>
          <w:kern w:val="0"/>
          <w:sz w:val="32"/>
          <w:szCs w:val="32"/>
          <w:lang w:eastAsia="zh-CN"/>
        </w:rPr>
        <w:t>，</w:t>
      </w:r>
      <w:r>
        <w:rPr>
          <w:rFonts w:ascii="仿宋" w:eastAsia="仿宋" w:cs="仿宋" w:hAnsi="仿宋" w:hint="eastAsia"/>
          <w:color w:val="000000"/>
          <w:kern w:val="0"/>
          <w:sz w:val="32"/>
          <w:szCs w:val="32"/>
        </w:rPr>
        <w:t>并通过引入数字赋能智慧管理平台，推动形成权责明晰、规范有序、智能高效的小区治理新格局。</w:t>
      </w:r>
    </w:p>
    <w:p>
      <w:pPr>
        <w:widowControl/>
        <w:spacing w:line="560" w:lineRule="exact"/>
        <w:ind w:firstLineChars="200" w:firstLine="640"/>
        <w:rPr>
          <w:rFonts w:ascii="黑体" w:eastAsia="黑体" w:cs="黑体" w:hAnsi="黑体" w:hint="eastAsia"/>
          <w:color w:val="000000"/>
          <w:kern w:val="0"/>
          <w:sz w:val="32"/>
          <w:szCs w:val="32"/>
        </w:rPr>
      </w:pPr>
      <w:r>
        <w:rPr>
          <w:rFonts w:ascii="黑体" w:eastAsia="黑体" w:cs="黑体" w:hAnsi="黑体" w:hint="eastAsia"/>
          <w:color w:val="000000"/>
          <w:kern w:val="0"/>
          <w:sz w:val="32"/>
          <w:szCs w:val="32"/>
        </w:rPr>
        <w:t>二、管理事项</w:t>
      </w:r>
    </w:p>
    <w:p>
      <w:pPr>
        <w:widowControl/>
        <w:spacing w:line="560" w:lineRule="exact"/>
        <w:ind w:firstLineChars="200" w:firstLine="640"/>
        <w:rPr>
          <w:rFonts w:ascii="仿宋_GB2312" w:eastAsia="仿宋_GB2312" w:cs="仿宋_GB2312" w:hAnsi="仿宋_GB2312" w:hint="eastAsia"/>
          <w:color w:val="000000"/>
          <w:kern w:val="0"/>
          <w:sz w:val="32"/>
          <w:szCs w:val="32"/>
          <w:lang w:val="en-US" w:eastAsia="zh-CN"/>
        </w:rPr>
      </w:pPr>
      <w:r>
        <w:rPr>
          <w:rFonts w:ascii="仿宋_GB2312" w:eastAsia="仿宋_GB2312" w:cs="仿宋_GB2312" w:hAnsi="仿宋_GB2312" w:hint="eastAsia"/>
          <w:color w:val="000000"/>
          <w:kern w:val="0"/>
          <w:sz w:val="32"/>
          <w:szCs w:val="32"/>
          <w:shd w:val="clear" w:color="auto" w:fill="auto"/>
        </w:rPr>
        <w:t>根</w:t>
      </w:r>
      <w:r>
        <w:rPr>
          <w:rFonts w:ascii="仿宋_GB2312" w:eastAsia="仿宋_GB2312" w:cs="仿宋_GB2312" w:hAnsi="仿宋_GB2312" w:hint="eastAsia"/>
          <w:color w:val="000000"/>
          <w:kern w:val="0"/>
          <w:sz w:val="32"/>
          <w:szCs w:val="32"/>
        </w:rPr>
        <w:t>据相关法律、法规和规章，结合市级部门行政权力清单，对住宅小区日常管理工作编制《法律法规规章涉及住宅小区管理的</w:t>
      </w:r>
      <w:r>
        <w:rPr>
          <w:rFonts w:ascii="仿宋_GB2312" w:eastAsia="仿宋_GB2312" w:cs="仿宋_GB2312" w:hAnsi="仿宋_GB2312" w:hint="eastAsia"/>
          <w:color w:val="000000"/>
          <w:kern w:val="0"/>
          <w:sz w:val="32"/>
          <w:szCs w:val="32"/>
          <w:lang w:eastAsia="zh-CN"/>
        </w:rPr>
        <w:t>执法清单</w:t>
      </w:r>
      <w:r>
        <w:rPr>
          <w:rFonts w:ascii="仿宋_GB2312" w:eastAsia="仿宋_GB2312" w:cs="仿宋_GB2312" w:hAnsi="仿宋_GB2312" w:hint="eastAsia"/>
          <w:color w:val="000000"/>
          <w:kern w:val="0"/>
          <w:sz w:val="32"/>
          <w:szCs w:val="32"/>
        </w:rPr>
        <w:t>》（详见附件）。</w:t>
      </w:r>
      <w:r>
        <w:rPr>
          <w:rFonts w:ascii="仿宋_GB2312" w:eastAsia="仿宋_GB2312" w:cs="仿宋_GB2312" w:hAnsi="仿宋_GB2312" w:hint="eastAsia"/>
          <w:color w:val="000000"/>
          <w:sz w:val="32"/>
          <w:szCs w:val="32"/>
        </w:rPr>
        <w:t>各区根据管理事项</w:t>
      </w:r>
      <w:r>
        <w:rPr>
          <w:rFonts w:ascii="仿宋_GB2312" w:eastAsia="仿宋_GB2312" w:cs="仿宋_GB2312" w:hAnsi="仿宋_GB2312" w:hint="eastAsia"/>
          <w:color w:val="000000"/>
          <w:kern w:val="0"/>
          <w:sz w:val="32"/>
          <w:szCs w:val="32"/>
        </w:rPr>
        <w:t>，进一步完善、细化区级、街镇管理事项</w:t>
      </w:r>
      <w:r>
        <w:rPr>
          <w:rFonts w:ascii="仿宋_GB2312" w:eastAsia="仿宋_GB2312" w:cs="仿宋_GB2312" w:hAnsi="仿宋_GB2312" w:hint="eastAsia"/>
          <w:color w:val="000000"/>
          <w:kern w:val="0"/>
          <w:sz w:val="32"/>
          <w:szCs w:val="32"/>
          <w:lang w:eastAsia="zh-CN"/>
        </w:rPr>
        <w:t>，</w:t>
      </w:r>
      <w:r>
        <w:rPr>
          <w:rFonts w:ascii="仿宋_GB2312" w:eastAsia="仿宋_GB2312" w:cs="仿宋_GB2312" w:hAnsi="仿宋_GB2312" w:hint="eastAsia"/>
          <w:color w:val="000000"/>
          <w:kern w:val="0"/>
          <w:sz w:val="32"/>
          <w:szCs w:val="32"/>
          <w:lang w:val="en-US" w:eastAsia="zh-CN"/>
        </w:rPr>
        <w:t>明确执法事项、依据、流程、联系方式等</w:t>
      </w:r>
      <w:r>
        <w:rPr>
          <w:rFonts w:ascii="仿宋_GB2312" w:eastAsia="仿宋_GB2312" w:cs="仿宋_GB2312" w:hAnsi="仿宋_GB2312" w:hint="eastAsia"/>
          <w:color w:val="000000"/>
          <w:kern w:val="0"/>
          <w:sz w:val="32"/>
          <w:szCs w:val="32"/>
        </w:rPr>
        <w:t>并形成手册，定期更新公布，推动住宅小区行政执法标准化和规范化。</w:t>
      </w:r>
    </w:p>
    <w:p>
      <w:pPr>
        <w:widowControl/>
        <w:spacing w:line="560" w:lineRule="exact"/>
        <w:ind w:firstLineChars="200" w:firstLine="640"/>
        <w:rPr>
          <w:rFonts w:ascii="Times New Roman" w:eastAsia="方正仿宋_GBK" w:cs="Times New Roman" w:hAnsi="Times New Roman" w:hint="eastAsia"/>
          <w:color w:val="000000"/>
          <w:kern w:val="0"/>
          <w:sz w:val="32"/>
          <w:szCs w:val="32"/>
        </w:rPr>
      </w:pPr>
      <w:r>
        <w:rPr>
          <w:rFonts w:ascii="Times New Roman" w:eastAsia="方正黑体_GBK" w:cs="Times New Roman" w:hAnsi="Times New Roman"/>
          <w:color w:val="000000"/>
          <w:kern w:val="0"/>
          <w:sz w:val="32"/>
          <w:szCs w:val="32"/>
        </w:rPr>
        <w:t>三、</w:t>
      </w:r>
      <w:r>
        <w:rPr>
          <w:rFonts w:ascii="Times New Roman" w:eastAsia="方正黑体_GBK" w:cs="Times New Roman" w:hAnsi="Times New Roman" w:hint="eastAsia"/>
          <w:color w:val="000000"/>
          <w:kern w:val="0"/>
          <w:sz w:val="32"/>
          <w:szCs w:val="32"/>
        </w:rPr>
        <w:t>诉求</w:t>
      </w:r>
      <w:r>
        <w:rPr>
          <w:rFonts w:ascii="Times New Roman" w:eastAsia="方正黑体_GBK" w:cs="Times New Roman" w:hAnsi="Times New Roman"/>
          <w:color w:val="000000"/>
          <w:kern w:val="0"/>
          <w:sz w:val="32"/>
          <w:szCs w:val="32"/>
        </w:rPr>
        <w:t>上报、移交、处理</w:t>
      </w:r>
      <w:r>
        <w:rPr>
          <w:rFonts w:ascii="Times New Roman" w:eastAsia="方正黑体_GBK" w:cs="Times New Roman" w:hAnsi="Times New Roman" w:hint="eastAsia"/>
          <w:color w:val="000000"/>
          <w:kern w:val="0"/>
          <w:sz w:val="32"/>
          <w:szCs w:val="32"/>
        </w:rPr>
        <w:t>机制</w:t>
      </w:r>
    </w:p>
    <w:p>
      <w:pPr>
        <w:widowControl/>
        <w:spacing w:line="560" w:lineRule="exact"/>
        <w:ind w:firstLineChars="200" w:firstLine="640"/>
        <w:rPr>
          <w:rFonts w:ascii="仿宋_GB2312" w:eastAsia="仿宋_GB2312" w:cs="仿宋_GB2312" w:hAnsi="仿宋_GB2312" w:hint="eastAsia"/>
          <w:color w:val="000000"/>
          <w:kern w:val="0"/>
          <w:sz w:val="32"/>
          <w:szCs w:val="32"/>
          <w:lang w:eastAsia="zh-CN"/>
        </w:rPr>
      </w:pPr>
      <w:r>
        <w:rPr>
          <w:rFonts w:ascii="仿宋_GB2312" w:eastAsia="仿宋_GB2312" w:cs="仿宋_GB2312" w:hAnsi="仿宋_GB2312" w:hint="eastAsia"/>
          <w:color w:val="000000"/>
          <w:kern w:val="0"/>
          <w:sz w:val="32"/>
          <w:szCs w:val="32"/>
        </w:rPr>
        <w:t>针对居民反映的诉求、物业服务企业日常巡查发现的问题及行政监管中发现的违法事项，规范上报、移交及处理流程如下</w:t>
      </w:r>
      <w:r>
        <w:rPr>
          <w:rFonts w:ascii="仿宋_GB2312" w:eastAsia="仿宋_GB2312" w:cs="仿宋_GB2312" w:hAnsi="仿宋_GB2312" w:hint="eastAsia"/>
          <w:color w:val="000000"/>
          <w:kern w:val="0"/>
          <w:sz w:val="32"/>
          <w:szCs w:val="32"/>
          <w:lang w:eastAsia="zh-CN"/>
        </w:rPr>
        <w:t>：</w:t>
      </w:r>
    </w:p>
    <w:p>
      <w:pPr>
        <w:widowControl/>
        <w:spacing w:line="560" w:lineRule="exact"/>
        <w:ind w:firstLineChars="200" w:firstLine="640"/>
        <w:rPr>
          <w:rFonts w:ascii="楷体" w:eastAsia="楷体" w:cs="楷体" w:hAnsi="楷体" w:hint="eastAsia"/>
          <w:color w:val="000000"/>
          <w:kern w:val="0"/>
          <w:sz w:val="32"/>
          <w:szCs w:val="32"/>
        </w:rPr>
      </w:pPr>
      <w:r>
        <w:rPr>
          <w:rFonts w:ascii="楷体" w:eastAsia="楷体" w:cs="楷体" w:hAnsi="楷体" w:hint="eastAsia"/>
          <w:color w:val="000000"/>
          <w:kern w:val="0"/>
          <w:sz w:val="32"/>
          <w:szCs w:val="32"/>
          <w:lang w:eastAsia="zh-CN"/>
        </w:rPr>
        <w:t>（</w:t>
      </w:r>
      <w:r>
        <w:rPr>
          <w:rFonts w:ascii="楷体" w:eastAsia="楷体" w:cs="楷体" w:hAnsi="楷体" w:hint="eastAsia"/>
          <w:color w:val="000000"/>
          <w:kern w:val="0"/>
          <w:sz w:val="32"/>
          <w:szCs w:val="32"/>
          <w:lang w:val="en-US" w:eastAsia="zh-CN"/>
        </w:rPr>
        <w:t>一</w:t>
      </w:r>
      <w:r>
        <w:rPr>
          <w:rFonts w:ascii="楷体" w:eastAsia="楷体" w:cs="楷体" w:hAnsi="楷体" w:hint="eastAsia"/>
          <w:color w:val="000000"/>
          <w:kern w:val="0"/>
          <w:sz w:val="32"/>
          <w:szCs w:val="32"/>
          <w:lang w:eastAsia="zh-CN"/>
        </w:rPr>
        <w:t>）</w:t>
      </w:r>
      <w:r>
        <w:rPr>
          <w:rFonts w:ascii="楷体" w:eastAsia="楷体" w:cs="楷体" w:hAnsi="楷体" w:hint="eastAsia"/>
          <w:color w:val="000000"/>
          <w:kern w:val="0"/>
          <w:sz w:val="32"/>
          <w:szCs w:val="32"/>
        </w:rPr>
        <w:t>居民反映诉求</w:t>
      </w:r>
    </w:p>
    <w:p>
      <w:pPr>
        <w:widowControl/>
        <w:spacing w:line="560" w:lineRule="exact"/>
        <w:ind w:firstLineChars="200" w:firstLine="640"/>
        <w:rPr>
          <w:rFonts w:ascii="仿宋_GB2312" w:eastAsia="仿宋_GB2312" w:cs="仿宋_GB2312" w:hAnsi="仿宋_GB2312" w:hint="eastAsia"/>
          <w:color w:val="000000"/>
          <w:kern w:val="0"/>
          <w:sz w:val="32"/>
          <w:szCs w:val="32"/>
        </w:rPr>
      </w:pPr>
      <w:r>
        <w:rPr>
          <w:rFonts w:ascii="仿宋_GB2312" w:eastAsia="仿宋_GB2312" w:cs="仿宋_GB2312" w:hAnsi="仿宋_GB2312" w:hint="eastAsia"/>
          <w:color w:val="000000"/>
          <w:kern w:val="0"/>
          <w:sz w:val="32"/>
          <w:szCs w:val="32"/>
        </w:rPr>
        <w:t>鼓励居民通过阳光物业平台进行诉求报事，平台自动生成诉求待办事项，并进行智能派单</w:t>
      </w:r>
      <w:r>
        <w:rPr>
          <w:rFonts w:ascii="仿宋_GB2312" w:eastAsia="仿宋_GB2312" w:cs="仿宋_GB2312" w:hAnsi="仿宋_GB2312" w:hint="eastAsia"/>
          <w:color w:val="000000"/>
          <w:kern w:val="0"/>
          <w:sz w:val="32"/>
          <w:szCs w:val="32"/>
          <w:lang w:eastAsia="zh-CN"/>
        </w:rPr>
        <w:t>；</w:t>
      </w:r>
      <w:r>
        <w:rPr>
          <w:rFonts w:ascii="仿宋_GB2312" w:eastAsia="仿宋_GB2312" w:cs="仿宋_GB2312" w:hAnsi="仿宋_GB2312" w:hint="eastAsia"/>
          <w:color w:val="000000"/>
          <w:kern w:val="0"/>
          <w:sz w:val="32"/>
          <w:szCs w:val="32"/>
        </w:rPr>
        <w:t xml:space="preserve">也可以通过12345便民热线、部门投诉电话、电子邮箱、信件等途径反映相关诉求。 </w:t>
      </w:r>
    </w:p>
    <w:p>
      <w:pPr>
        <w:widowControl/>
        <w:spacing w:line="560" w:lineRule="exact"/>
        <w:ind w:firstLineChars="200" w:firstLine="640"/>
        <w:rPr>
          <w:rFonts w:ascii="楷体" w:eastAsia="楷体" w:cs="楷体" w:hAnsi="楷体" w:hint="eastAsia"/>
          <w:color w:val="000000"/>
          <w:kern w:val="0"/>
          <w:sz w:val="32"/>
          <w:szCs w:val="32"/>
        </w:rPr>
      </w:pPr>
      <w:r>
        <w:rPr>
          <w:rFonts w:ascii="楷体" w:eastAsia="楷体" w:cs="楷体" w:hAnsi="楷体" w:hint="eastAsia"/>
          <w:color w:val="000000"/>
          <w:kern w:val="0"/>
          <w:sz w:val="32"/>
          <w:szCs w:val="32"/>
          <w:lang w:eastAsia="zh-CN"/>
        </w:rPr>
        <w:t>（</w:t>
      </w:r>
      <w:r>
        <w:rPr>
          <w:rFonts w:ascii="楷体" w:eastAsia="楷体" w:cs="楷体" w:hAnsi="楷体" w:hint="eastAsia"/>
          <w:color w:val="000000"/>
          <w:kern w:val="0"/>
          <w:sz w:val="32"/>
          <w:szCs w:val="32"/>
          <w:lang w:val="en-US" w:eastAsia="zh-CN"/>
        </w:rPr>
        <w:t>二</w:t>
      </w:r>
      <w:r>
        <w:rPr>
          <w:rFonts w:ascii="楷体" w:eastAsia="楷体" w:cs="楷体" w:hAnsi="楷体" w:hint="eastAsia"/>
          <w:color w:val="000000"/>
          <w:kern w:val="0"/>
          <w:sz w:val="32"/>
          <w:szCs w:val="32"/>
          <w:lang w:eastAsia="zh-CN"/>
        </w:rPr>
        <w:t>）</w:t>
      </w:r>
      <w:r>
        <w:rPr>
          <w:rFonts w:ascii="楷体" w:eastAsia="楷体" w:cs="楷体" w:hAnsi="楷体" w:hint="eastAsia"/>
          <w:color w:val="000000"/>
          <w:kern w:val="0"/>
          <w:sz w:val="32"/>
          <w:szCs w:val="32"/>
        </w:rPr>
        <w:t>物业服务企业劝阻、制止、上报</w:t>
      </w:r>
    </w:p>
    <w:p>
      <w:pPr>
        <w:widowControl/>
        <w:spacing w:line="560" w:lineRule="exact"/>
        <w:ind w:firstLineChars="200" w:firstLine="640"/>
        <w:rPr>
          <w:rFonts w:ascii="仿宋_GB2312" w:eastAsia="仿宋_GB2312" w:cs="仿宋_GB2312" w:hAnsi="仿宋_GB2312" w:hint="eastAsia"/>
          <w:color w:val="000000"/>
          <w:kern w:val="0"/>
          <w:sz w:val="32"/>
          <w:szCs w:val="32"/>
        </w:rPr>
      </w:pPr>
      <w:r>
        <w:rPr>
          <w:rFonts w:ascii="仿宋_GB2312" w:eastAsia="仿宋_GB2312" w:cs="仿宋_GB2312" w:hAnsi="仿宋_GB2312" w:hint="eastAsia"/>
          <w:color w:val="000000"/>
          <w:kern w:val="0"/>
          <w:sz w:val="32"/>
          <w:szCs w:val="32"/>
        </w:rPr>
        <w:t>1.物业服务企业对于发现或者业主投诉的违反消防、治安、环保等有关法律、法规的行为，应当依法及时采取合理措施劝阻、制止。</w:t>
      </w:r>
    </w:p>
    <w:p>
      <w:pPr>
        <w:widowControl/>
        <w:spacing w:line="560" w:lineRule="exact"/>
        <w:ind w:firstLineChars="200" w:firstLine="640"/>
        <w:rPr>
          <w:rFonts w:ascii="仿宋_GB2312" w:eastAsia="仿宋_GB2312" w:cs="仿宋_GB2312" w:hAnsi="仿宋_GB2312" w:hint="eastAsia"/>
          <w:color w:val="000000"/>
          <w:kern w:val="0"/>
          <w:sz w:val="32"/>
          <w:szCs w:val="32"/>
        </w:rPr>
      </w:pPr>
      <w:r>
        <w:rPr>
          <w:rFonts w:ascii="仿宋_GB2312" w:eastAsia="仿宋_GB2312" w:cs="仿宋_GB2312" w:hAnsi="仿宋_GB2312" w:hint="eastAsia"/>
          <w:color w:val="000000"/>
          <w:kern w:val="0"/>
          <w:sz w:val="32"/>
          <w:szCs w:val="32"/>
        </w:rPr>
        <w:t>2.物业服务企业对于劝阻、制止无效的违法行为，可以通过阳光物业平台及时上报处置诉求，也可以通过部门投诉电话、信件等途径上报相关诉求。</w:t>
      </w:r>
    </w:p>
    <w:p>
      <w:pPr>
        <w:widowControl/>
        <w:spacing w:line="560" w:lineRule="exact"/>
        <w:ind w:firstLineChars="200" w:firstLine="640"/>
        <w:rPr>
          <w:rFonts w:ascii="楷体" w:eastAsia="楷体" w:cs="楷体" w:hAnsi="楷体" w:hint="eastAsia"/>
          <w:color w:val="000000"/>
          <w:kern w:val="0"/>
          <w:sz w:val="32"/>
          <w:szCs w:val="32"/>
        </w:rPr>
      </w:pPr>
      <w:r>
        <w:rPr>
          <w:rFonts w:ascii="楷体" w:eastAsia="楷体" w:cs="楷体" w:hAnsi="楷体" w:hint="eastAsia"/>
          <w:color w:val="000000"/>
          <w:kern w:val="0"/>
          <w:sz w:val="32"/>
          <w:szCs w:val="32"/>
          <w:lang w:eastAsia="zh-CN"/>
        </w:rPr>
        <w:t>（</w:t>
      </w:r>
      <w:r>
        <w:rPr>
          <w:rFonts w:ascii="楷体" w:eastAsia="楷体" w:cs="楷体" w:hAnsi="楷体" w:hint="eastAsia"/>
          <w:color w:val="000000"/>
          <w:kern w:val="0"/>
          <w:sz w:val="32"/>
          <w:szCs w:val="32"/>
          <w:lang w:val="en-US" w:eastAsia="zh-CN"/>
        </w:rPr>
        <w:t>三</w:t>
      </w:r>
      <w:r>
        <w:rPr>
          <w:rFonts w:ascii="楷体" w:eastAsia="楷体" w:cs="楷体" w:hAnsi="楷体" w:hint="eastAsia"/>
          <w:color w:val="000000"/>
          <w:kern w:val="0"/>
          <w:sz w:val="32"/>
          <w:szCs w:val="32"/>
          <w:lang w:eastAsia="zh-CN"/>
        </w:rPr>
        <w:t>）</w:t>
      </w:r>
      <w:r>
        <w:rPr>
          <w:rFonts w:ascii="楷体" w:eastAsia="楷体" w:cs="楷体" w:hAnsi="楷体" w:hint="eastAsia"/>
          <w:color w:val="000000"/>
          <w:kern w:val="0"/>
          <w:sz w:val="32"/>
          <w:szCs w:val="32"/>
        </w:rPr>
        <w:t>部门办理诉求</w:t>
      </w:r>
    </w:p>
    <w:p>
      <w:pPr>
        <w:widowControl/>
        <w:spacing w:line="560" w:lineRule="exact"/>
        <w:ind w:firstLineChars="200" w:firstLine="640"/>
        <w:rPr>
          <w:rFonts w:ascii="仿宋_GB2312" w:eastAsia="仿宋_GB2312" w:cs="仿宋_GB2312" w:hAnsi="仿宋_GB2312" w:hint="eastAsia"/>
          <w:color w:val="000000"/>
          <w:kern w:val="0"/>
          <w:sz w:val="32"/>
          <w:szCs w:val="32"/>
        </w:rPr>
      </w:pPr>
      <w:r>
        <w:rPr>
          <w:rFonts w:ascii="仿宋_GB2312" w:eastAsia="仿宋_GB2312" w:cs="仿宋_GB2312" w:hAnsi="仿宋_GB2312" w:hint="eastAsia"/>
          <w:color w:val="000000"/>
          <w:kern w:val="0"/>
          <w:sz w:val="32"/>
          <w:szCs w:val="32"/>
        </w:rPr>
        <w:t>政务服务部门依据各部门职责及管理事项，对市民诉求实行精准分类派单、高效处理</w:t>
      </w:r>
      <w:r>
        <w:rPr>
          <w:rFonts w:ascii="仿宋_GB2312" w:eastAsia="仿宋_GB2312" w:cs="仿宋_GB2312" w:hAnsi="仿宋_GB2312" w:hint="eastAsia"/>
          <w:color w:val="000000"/>
          <w:kern w:val="0"/>
          <w:sz w:val="32"/>
          <w:szCs w:val="32"/>
          <w:lang w:eastAsia="zh-CN"/>
        </w:rPr>
        <w:t>；</w:t>
      </w:r>
      <w:r>
        <w:rPr>
          <w:rFonts w:ascii="仿宋_GB2312" w:eastAsia="仿宋_GB2312" w:cs="仿宋_GB2312" w:hAnsi="仿宋_GB2312" w:hint="eastAsia"/>
          <w:color w:val="000000"/>
          <w:kern w:val="0"/>
          <w:sz w:val="32"/>
          <w:szCs w:val="32"/>
        </w:rPr>
        <w:t>各街道办事处</w:t>
      </w:r>
      <w:r>
        <w:rPr>
          <w:rFonts w:ascii="仿宋_GB2312" w:eastAsia="仿宋_GB2312" w:cs="仿宋_GB2312" w:hAnsi="仿宋_GB2312" w:hint="eastAsia"/>
          <w:color w:val="000000"/>
          <w:kern w:val="0"/>
          <w:sz w:val="32"/>
          <w:szCs w:val="32"/>
          <w:lang w:eastAsia="zh-CN"/>
        </w:rPr>
        <w:t>（</w:t>
      </w:r>
      <w:r>
        <w:rPr>
          <w:rFonts w:ascii="仿宋_GB2312" w:eastAsia="仿宋_GB2312" w:cs="仿宋_GB2312" w:hAnsi="仿宋_GB2312" w:hint="eastAsia"/>
          <w:color w:val="000000"/>
          <w:kern w:val="0"/>
          <w:sz w:val="32"/>
          <w:szCs w:val="32"/>
        </w:rPr>
        <w:t>镇人民政府</w:t>
      </w:r>
      <w:r>
        <w:rPr>
          <w:rFonts w:ascii="仿宋_GB2312" w:eastAsia="仿宋_GB2312" w:cs="仿宋_GB2312" w:hAnsi="仿宋_GB2312" w:hint="eastAsia"/>
          <w:color w:val="000000"/>
          <w:kern w:val="0"/>
          <w:sz w:val="32"/>
          <w:szCs w:val="32"/>
          <w:lang w:eastAsia="zh-CN"/>
        </w:rPr>
        <w:t>）</w:t>
      </w:r>
      <w:r>
        <w:rPr>
          <w:rFonts w:ascii="仿宋_GB2312" w:eastAsia="仿宋_GB2312" w:cs="仿宋_GB2312" w:hAnsi="仿宋_GB2312" w:hint="eastAsia"/>
          <w:color w:val="000000"/>
          <w:kern w:val="0"/>
          <w:sz w:val="32"/>
          <w:szCs w:val="32"/>
        </w:rPr>
        <w:t>根据履职事项清单，建立物业管理矛盾投诉调解机制，调解物业管理矛盾纠纷。各部门在行政监管中发现的涉及其他部门行政监管职能的，应当采用工作提示函告知，实现信息同步共享。</w:t>
      </w:r>
    </w:p>
    <w:p>
      <w:pPr>
        <w:widowControl/>
        <w:spacing w:line="560" w:lineRule="exact"/>
        <w:ind w:firstLineChars="200" w:firstLine="640"/>
        <w:rPr>
          <w:rFonts w:ascii="楷体" w:eastAsia="楷体" w:cs="楷体" w:hAnsi="楷体" w:hint="eastAsia"/>
          <w:color w:val="000000"/>
          <w:kern w:val="0"/>
          <w:sz w:val="32"/>
          <w:szCs w:val="32"/>
        </w:rPr>
      </w:pPr>
      <w:r>
        <w:rPr>
          <w:rFonts w:ascii="楷体" w:eastAsia="楷体" w:cs="楷体" w:hAnsi="楷体" w:hint="eastAsia"/>
          <w:color w:val="000000"/>
          <w:kern w:val="0"/>
          <w:sz w:val="32"/>
          <w:szCs w:val="32"/>
          <w:lang w:eastAsia="zh-CN"/>
        </w:rPr>
        <w:t>（</w:t>
      </w:r>
      <w:r>
        <w:rPr>
          <w:rFonts w:ascii="楷体" w:eastAsia="楷体" w:cs="楷体" w:hAnsi="楷体" w:hint="eastAsia"/>
          <w:color w:val="000000"/>
          <w:kern w:val="0"/>
          <w:sz w:val="32"/>
          <w:szCs w:val="32"/>
          <w:lang w:val="en-US" w:eastAsia="zh-CN"/>
        </w:rPr>
        <w:t>四</w:t>
      </w:r>
      <w:r>
        <w:rPr>
          <w:rFonts w:ascii="楷体" w:eastAsia="楷体" w:cs="楷体" w:hAnsi="楷体" w:hint="eastAsia"/>
          <w:color w:val="000000"/>
          <w:kern w:val="0"/>
          <w:sz w:val="32"/>
          <w:szCs w:val="32"/>
          <w:lang w:eastAsia="zh-CN"/>
        </w:rPr>
        <w:t>）</w:t>
      </w:r>
      <w:r>
        <w:rPr>
          <w:rFonts w:ascii="楷体" w:eastAsia="楷体" w:cs="楷体" w:hAnsi="楷体" w:hint="eastAsia"/>
          <w:color w:val="000000"/>
          <w:kern w:val="0"/>
          <w:sz w:val="32"/>
          <w:szCs w:val="32"/>
        </w:rPr>
        <w:t>应急事项处理</w:t>
      </w:r>
    </w:p>
    <w:p>
      <w:pPr>
        <w:widowControl/>
        <w:spacing w:line="560" w:lineRule="exact"/>
        <w:ind w:firstLineChars="200" w:firstLine="640"/>
        <w:rPr>
          <w:rFonts w:ascii="仿宋_GB2312" w:eastAsia="仿宋_GB2312" w:cs="仿宋_GB2312" w:hAnsi="仿宋_GB2312" w:hint="eastAsia"/>
          <w:color w:val="000000"/>
          <w:kern w:val="0"/>
          <w:sz w:val="32"/>
          <w:szCs w:val="32"/>
        </w:rPr>
      </w:pPr>
      <w:r>
        <w:rPr>
          <w:rFonts w:ascii="仿宋_GB2312" w:eastAsia="仿宋_GB2312" w:cs="仿宋_GB2312" w:hAnsi="仿宋_GB2312" w:hint="eastAsia"/>
          <w:color w:val="000000"/>
          <w:kern w:val="0"/>
          <w:sz w:val="32"/>
          <w:szCs w:val="32"/>
        </w:rPr>
        <w:t>属于紧急事项</w:t>
      </w:r>
      <w:r>
        <w:rPr>
          <w:rFonts w:ascii="仿宋_GB2312" w:eastAsia="仿宋_GB2312" w:cs="仿宋_GB2312" w:hAnsi="仿宋_GB2312" w:hint="eastAsia"/>
          <w:color w:val="000000"/>
          <w:kern w:val="0"/>
          <w:sz w:val="32"/>
          <w:szCs w:val="32"/>
          <w:lang w:eastAsia="zh-CN"/>
        </w:rPr>
        <w:t>（</w:t>
      </w:r>
      <w:r>
        <w:rPr>
          <w:rFonts w:ascii="仿宋_GB2312" w:eastAsia="仿宋_GB2312" w:cs="仿宋_GB2312" w:hAnsi="仿宋_GB2312" w:hint="eastAsia"/>
          <w:color w:val="000000"/>
          <w:kern w:val="0"/>
          <w:sz w:val="32"/>
          <w:szCs w:val="32"/>
        </w:rPr>
        <w:t>消防、治安事件等</w:t>
      </w:r>
      <w:r>
        <w:rPr>
          <w:rFonts w:ascii="仿宋_GB2312" w:eastAsia="仿宋_GB2312" w:cs="仿宋_GB2312" w:hAnsi="仿宋_GB2312" w:hint="eastAsia"/>
          <w:color w:val="000000"/>
          <w:kern w:val="0"/>
          <w:sz w:val="32"/>
          <w:szCs w:val="32"/>
          <w:lang w:eastAsia="zh-CN"/>
        </w:rPr>
        <w:t>）</w:t>
      </w:r>
      <w:r>
        <w:rPr>
          <w:rFonts w:ascii="仿宋_GB2312" w:eastAsia="仿宋_GB2312" w:cs="仿宋_GB2312" w:hAnsi="仿宋_GB2312" w:hint="eastAsia"/>
          <w:color w:val="000000"/>
          <w:kern w:val="0"/>
          <w:sz w:val="32"/>
          <w:szCs w:val="32"/>
        </w:rPr>
        <w:t>的，居民或项目管理人员</w:t>
      </w:r>
      <w:r>
        <w:rPr>
          <w:rFonts w:ascii="仿宋_GB2312" w:eastAsia="仿宋_GB2312" w:cs="仿宋_GB2312" w:hAnsi="仿宋_GB2312" w:hint="eastAsia"/>
          <w:color w:val="000000"/>
          <w:kern w:val="0"/>
          <w:sz w:val="32"/>
          <w:szCs w:val="32"/>
          <w:lang w:eastAsia="zh-CN"/>
        </w:rPr>
        <w:t>可以</w:t>
      </w:r>
      <w:r>
        <w:rPr>
          <w:rFonts w:ascii="仿宋_GB2312" w:eastAsia="仿宋_GB2312" w:cs="仿宋_GB2312" w:hAnsi="仿宋_GB2312" w:hint="eastAsia"/>
          <w:color w:val="000000"/>
          <w:kern w:val="0"/>
          <w:sz w:val="32"/>
          <w:szCs w:val="32"/>
        </w:rPr>
        <w:t>直接拨打紧急救助电话，同时上报街道办事处应急-消防一体化工作站，相关部门立即启动应急机制。</w:t>
      </w:r>
    </w:p>
    <w:p>
      <w:pPr>
        <w:widowControl/>
        <w:spacing w:line="560" w:lineRule="exact"/>
        <w:ind w:firstLineChars="200" w:firstLine="640"/>
        <w:rPr>
          <w:rFonts w:ascii="楷体" w:eastAsia="楷体" w:cs="楷体" w:hAnsi="楷体" w:hint="eastAsia"/>
          <w:color w:val="000000"/>
          <w:kern w:val="0"/>
          <w:sz w:val="32"/>
          <w:szCs w:val="32"/>
        </w:rPr>
      </w:pPr>
      <w:r>
        <w:rPr>
          <w:rFonts w:ascii="楷体" w:eastAsia="楷体" w:cs="楷体" w:hAnsi="楷体" w:hint="eastAsia"/>
          <w:color w:val="000000"/>
          <w:kern w:val="0"/>
          <w:sz w:val="32"/>
          <w:szCs w:val="32"/>
        </w:rPr>
        <w:t>（五）部门联合监管</w:t>
      </w:r>
    </w:p>
    <w:p>
      <w:pPr>
        <w:widowControl/>
        <w:spacing w:line="560" w:lineRule="exact"/>
        <w:ind w:firstLineChars="200" w:firstLine="640"/>
        <w:rPr>
          <w:rFonts w:ascii="仿宋_GB2312" w:eastAsia="仿宋_GB2312" w:cs="仿宋_GB2312" w:hAnsi="仿宋_GB2312" w:hint="eastAsia"/>
          <w:color w:val="000000"/>
          <w:kern w:val="0"/>
          <w:sz w:val="32"/>
          <w:szCs w:val="32"/>
        </w:rPr>
      </w:pPr>
      <w:r>
        <w:rPr>
          <w:rFonts w:ascii="仿宋_GB2312" w:eastAsia="仿宋_GB2312" w:cs="仿宋_GB2312" w:hAnsi="仿宋_GB2312" w:hint="eastAsia"/>
          <w:color w:val="000000"/>
          <w:kern w:val="0"/>
          <w:sz w:val="32"/>
          <w:szCs w:val="32"/>
        </w:rPr>
        <w:t>各区建立工作协调机制，结合住宅小区“双随机”检查、条口专项检查等，聚焦小区高频违法事项开展联合执法检查。对于涉及多部门职责的复杂项，明确由主要管理部门牵头协调、统筹处理，确保监管无盲区，执法有实效。</w:t>
      </w:r>
    </w:p>
    <w:p>
      <w:pPr>
        <w:widowControl/>
        <w:spacing w:line="560" w:lineRule="exact"/>
        <w:ind w:firstLineChars="200" w:firstLine="640"/>
        <w:rPr>
          <w:rFonts w:ascii="Times New Roman" w:eastAsia="方正黑体_GBK" w:cs="Times New Roman" w:hAnsi="Times New Roman"/>
          <w:color w:val="000000"/>
          <w:kern w:val="0"/>
          <w:sz w:val="32"/>
          <w:szCs w:val="32"/>
        </w:rPr>
      </w:pPr>
      <w:r>
        <w:rPr>
          <w:rFonts w:ascii="Times New Roman" w:eastAsia="方正黑体_GBK" w:cs="Times New Roman" w:hAnsi="Times New Roman"/>
          <w:color w:val="000000"/>
          <w:kern w:val="0"/>
          <w:sz w:val="32"/>
          <w:szCs w:val="32"/>
        </w:rPr>
        <w:t>四、保障措施</w:t>
      </w:r>
    </w:p>
    <w:p>
      <w:pPr>
        <w:widowControl/>
        <w:spacing w:line="560" w:lineRule="exact"/>
        <w:ind w:firstLineChars="200" w:firstLine="640"/>
        <w:rPr>
          <w:rFonts w:ascii="仿宋_GB2312" w:eastAsia="仿宋_GB2312" w:cs="仿宋_GB2312" w:hAnsi="仿宋_GB2312" w:hint="eastAsia"/>
          <w:color w:val="000000"/>
          <w:kern w:val="0"/>
          <w:sz w:val="32"/>
          <w:szCs w:val="32"/>
        </w:rPr>
      </w:pPr>
      <w:r>
        <w:rPr>
          <w:rFonts w:ascii="仿宋_GB2312" w:eastAsia="仿宋_GB2312" w:cs="仿宋_GB2312" w:hAnsi="仿宋_GB2312" w:hint="eastAsia"/>
          <w:color w:val="000000"/>
          <w:kern w:val="0"/>
          <w:sz w:val="32"/>
          <w:szCs w:val="32"/>
          <w:lang w:eastAsia="zh-CN"/>
        </w:rPr>
        <w:t>（</w:t>
      </w:r>
      <w:r>
        <w:rPr>
          <w:rFonts w:ascii="仿宋_GB2312" w:eastAsia="仿宋_GB2312" w:cs="仿宋_GB2312" w:hAnsi="仿宋_GB2312" w:hint="eastAsia"/>
          <w:color w:val="000000"/>
          <w:kern w:val="0"/>
          <w:sz w:val="32"/>
          <w:szCs w:val="32"/>
          <w:lang w:val="en-US" w:eastAsia="zh-CN"/>
        </w:rPr>
        <w:t>一</w:t>
      </w:r>
      <w:r>
        <w:rPr>
          <w:rFonts w:ascii="仿宋_GB2312" w:eastAsia="仿宋_GB2312" w:cs="仿宋_GB2312" w:hAnsi="仿宋_GB2312" w:hint="eastAsia"/>
          <w:color w:val="000000"/>
          <w:kern w:val="0"/>
          <w:sz w:val="32"/>
          <w:szCs w:val="32"/>
          <w:lang w:eastAsia="zh-CN"/>
        </w:rPr>
        <w:t>）</w:t>
      </w:r>
      <w:r>
        <w:rPr>
          <w:rFonts w:ascii="仿宋_GB2312" w:eastAsia="仿宋_GB2312" w:cs="仿宋_GB2312" w:hAnsi="仿宋_GB2312" w:hint="eastAsia"/>
          <w:color w:val="000000"/>
          <w:kern w:val="0"/>
          <w:sz w:val="32"/>
          <w:szCs w:val="32"/>
        </w:rPr>
        <w:t>落实公示公告制度。各区明确住宅小区涉及的有关部门具体职责范围、联系人姓名和联系方式等信息， 由</w:t>
      </w:r>
      <w:r>
        <w:rPr>
          <w:rFonts w:ascii="仿宋_GB2312" w:eastAsia="仿宋_GB2312" w:cs="仿宋_GB2312" w:hAnsi="仿宋_GB2312" w:hint="eastAsia"/>
          <w:color w:val="000000"/>
          <w:kern w:val="0"/>
          <w:sz w:val="32"/>
          <w:szCs w:val="32"/>
          <w:lang w:eastAsia="zh-CN"/>
        </w:rPr>
        <w:t>区</w:t>
      </w:r>
      <w:r>
        <w:rPr>
          <w:rFonts w:ascii="仿宋_GB2312" w:eastAsia="仿宋_GB2312" w:cs="仿宋_GB2312" w:hAnsi="仿宋_GB2312" w:hint="eastAsia"/>
          <w:color w:val="000000"/>
          <w:kern w:val="0"/>
          <w:sz w:val="32"/>
          <w:szCs w:val="32"/>
        </w:rPr>
        <w:t>房产</w:t>
      </w:r>
      <w:r>
        <w:rPr>
          <w:rFonts w:ascii="仿宋_GB2312" w:eastAsia="仿宋_GB2312" w:cs="仿宋_GB2312" w:hAnsi="仿宋_GB2312" w:hint="eastAsia"/>
          <w:color w:val="000000"/>
          <w:kern w:val="0"/>
          <w:sz w:val="32"/>
          <w:szCs w:val="32"/>
          <w:lang w:eastAsia="zh-CN"/>
        </w:rPr>
        <w:t>（</w:t>
      </w:r>
      <w:r>
        <w:rPr>
          <w:rFonts w:ascii="仿宋_GB2312" w:eastAsia="仿宋_GB2312" w:cs="仿宋_GB2312" w:hAnsi="仿宋_GB2312" w:hint="eastAsia"/>
          <w:color w:val="000000"/>
          <w:kern w:val="0"/>
          <w:sz w:val="32"/>
          <w:szCs w:val="32"/>
        </w:rPr>
        <w:t>住建</w:t>
      </w:r>
      <w:r>
        <w:rPr>
          <w:rFonts w:ascii="仿宋_GB2312" w:eastAsia="仿宋_GB2312" w:cs="仿宋_GB2312" w:hAnsi="仿宋_GB2312" w:hint="eastAsia"/>
          <w:color w:val="000000"/>
          <w:kern w:val="0"/>
          <w:sz w:val="32"/>
          <w:szCs w:val="32"/>
          <w:lang w:eastAsia="zh-CN"/>
        </w:rPr>
        <w:t>）</w:t>
      </w:r>
      <w:r>
        <w:rPr>
          <w:rFonts w:ascii="仿宋_GB2312" w:eastAsia="仿宋_GB2312" w:cs="仿宋_GB2312" w:hAnsi="仿宋_GB2312" w:hint="eastAsia"/>
          <w:color w:val="000000"/>
          <w:kern w:val="0"/>
          <w:sz w:val="32"/>
          <w:szCs w:val="32"/>
        </w:rPr>
        <w:t>局牵头在物业管理区域显著位置公告，并通过线上渠道推送管理事项手册内容，确保市民便捷获取、随时查询。</w:t>
      </w:r>
    </w:p>
    <w:p>
      <w:pPr>
        <w:widowControl/>
        <w:spacing w:line="560" w:lineRule="exact"/>
        <w:ind w:firstLineChars="200" w:firstLine="640"/>
        <w:rPr>
          <w:rFonts w:ascii="仿宋_GB2312" w:eastAsia="仿宋_GB2312" w:cs="仿宋_GB2312" w:hAnsi="仿宋_GB2312" w:hint="eastAsia"/>
          <w:color w:val="000000"/>
          <w:kern w:val="0"/>
          <w:sz w:val="32"/>
          <w:szCs w:val="32"/>
          <w:lang w:eastAsia="zh-CN"/>
        </w:rPr>
      </w:pPr>
      <w:r>
        <w:rPr>
          <w:rFonts w:ascii="仿宋_GB2312" w:eastAsia="仿宋_GB2312" w:cs="仿宋_GB2312" w:hAnsi="仿宋_GB2312" w:hint="eastAsia"/>
          <w:color w:val="000000"/>
          <w:kern w:val="0"/>
          <w:sz w:val="32"/>
          <w:szCs w:val="32"/>
          <w:lang w:eastAsia="zh-CN"/>
        </w:rPr>
        <w:t>（</w:t>
      </w:r>
      <w:r>
        <w:rPr>
          <w:rFonts w:ascii="仿宋_GB2312" w:eastAsia="仿宋_GB2312" w:cs="仿宋_GB2312" w:hAnsi="仿宋_GB2312" w:hint="eastAsia"/>
          <w:color w:val="000000"/>
          <w:kern w:val="0"/>
          <w:sz w:val="32"/>
          <w:szCs w:val="32"/>
          <w:lang w:val="en-US" w:eastAsia="zh-CN"/>
        </w:rPr>
        <w:t>二</w:t>
      </w:r>
      <w:r>
        <w:rPr>
          <w:rFonts w:ascii="仿宋_GB2312" w:eastAsia="仿宋_GB2312" w:cs="仿宋_GB2312" w:hAnsi="仿宋_GB2312" w:hint="eastAsia"/>
          <w:color w:val="000000"/>
          <w:kern w:val="0"/>
          <w:sz w:val="32"/>
          <w:szCs w:val="32"/>
          <w:lang w:eastAsia="zh-CN"/>
        </w:rPr>
        <w:t>）</w:t>
      </w:r>
      <w:r>
        <w:rPr>
          <w:rFonts w:ascii="仿宋_GB2312" w:eastAsia="仿宋_GB2312" w:cs="仿宋_GB2312" w:hAnsi="仿宋_GB2312" w:hint="eastAsia"/>
          <w:color w:val="000000"/>
          <w:kern w:val="0"/>
          <w:sz w:val="32"/>
          <w:szCs w:val="32"/>
        </w:rPr>
        <w:t>构建齐抓共管合力。扎实推进“街道吹哨、部门报到”的工作联系机制，推动执法力量、资源要素、便民服务全面下沉小区，实现“小事快办、大事督办、难事联办”的齐抓共管工作格局</w:t>
      </w:r>
      <w:r>
        <w:rPr>
          <w:rFonts w:ascii="仿宋_GB2312" w:eastAsia="仿宋_GB2312" w:cs="仿宋_GB2312" w:hAnsi="仿宋_GB2312" w:hint="eastAsia"/>
          <w:color w:val="000000"/>
          <w:kern w:val="0"/>
          <w:sz w:val="32"/>
          <w:szCs w:val="32"/>
          <w:lang w:eastAsia="zh-CN"/>
        </w:rPr>
        <w:t>。</w:t>
      </w:r>
    </w:p>
    <w:p>
      <w:pPr>
        <w:widowControl/>
        <w:spacing w:line="560" w:lineRule="exact"/>
        <w:ind w:firstLineChars="200" w:firstLine="640"/>
        <w:rPr>
          <w:rFonts w:ascii="仿宋_GB2312" w:eastAsia="仿宋_GB2312" w:cs="仿宋_GB2312" w:hAnsi="仿宋_GB2312" w:hint="eastAsia"/>
          <w:color w:val="000000"/>
          <w:kern w:val="0"/>
          <w:sz w:val="32"/>
          <w:szCs w:val="32"/>
          <w:lang w:val="en-US" w:eastAsia="zh-CN"/>
        </w:rPr>
      </w:pPr>
      <w:r>
        <w:rPr>
          <w:rFonts w:ascii="仿宋_GB2312" w:eastAsia="仿宋_GB2312" w:cs="仿宋_GB2312" w:hAnsi="仿宋_GB2312" w:hint="eastAsia"/>
          <w:color w:val="000000"/>
          <w:kern w:val="0"/>
          <w:sz w:val="32"/>
          <w:szCs w:val="32"/>
          <w:lang w:val="en-US" w:eastAsia="zh-CN"/>
        </w:rPr>
        <w:t>本方案自2026年6月1日起施行，有效期至2031年5月31日。</w:t>
      </w:r>
    </w:p>
    <w:p>
      <w:pPr>
        <w:rPr>
          <w:rFonts w:ascii="Times New Roman" w:eastAsia="宋体" w:cs="Times New Roman" w:hAnsi="Times New Roman"/>
          <w:szCs w:val="24"/>
        </w:rPr>
      </w:pPr>
    </w:p>
    <w:p>
      <w:pPr>
        <w:tabs>
          <w:tab w:val="left" w:pos="840"/>
        </w:tabs>
        <w:spacing w:line="600" w:lineRule="exact"/>
        <w:rPr>
          <w:rFonts w:ascii="黑体" w:eastAsia="黑体" w:cs="黑体" w:hAnsi="黑体" w:hint="eastAsia"/>
          <w:b w:val="0"/>
          <w:bCs w:val="0"/>
          <w:color w:val="000000"/>
          <w:sz w:val="32"/>
          <w:szCs w:val="32"/>
        </w:rPr>
        <w:sectPr>
          <w:headerReference w:type="default" r:id="rId9"/>
          <w:footerReference w:type="default" r:id="rId10"/>
          <w:pgSz w:w="11906" w:h="16838"/>
          <w:pgMar w:top="1962" w:right="1474" w:bottom="1848" w:left="1587" w:header="851" w:footer="992" w:gutter="0"/>
          <w:pgNumType/>
          <w:cols w:num="1" w:space="720"/>
          <w:docGrid w:type="lines" w:linePitch="312" w:charSpace="0"/>
        </w:sectPr>
      </w:pPr>
    </w:p>
    <w:p>
      <w:pPr>
        <w:tabs>
          <w:tab w:val="left" w:pos="840"/>
        </w:tabs>
        <w:spacing w:line="600" w:lineRule="exact"/>
        <w:rPr>
          <w:rFonts w:ascii="黑体" w:eastAsia="黑体" w:cs="黑体" w:hAnsi="黑体" w:hint="eastAsia"/>
          <w:b w:val="0"/>
          <w:bCs w:val="0"/>
          <w:color w:val="000000"/>
          <w:sz w:val="32"/>
          <w:szCs w:val="32"/>
        </w:rPr>
      </w:pPr>
      <w:r>
        <w:rPr>
          <w:rFonts w:ascii="黑体" w:eastAsia="黑体" w:cs="黑体" w:hAnsi="黑体" w:hint="eastAsia"/>
          <w:b w:val="0"/>
          <w:bCs w:val="0"/>
          <w:color w:val="000000"/>
          <w:sz w:val="32"/>
          <w:szCs w:val="32"/>
        </w:rPr>
        <w:t>附件</w:t>
      </w:r>
    </w:p>
    <w:p>
      <w:pPr>
        <w:ind w:firstLineChars="600" w:firstLine="2640"/>
        <w:rPr>
          <w:rFonts w:ascii="Times New Roman" w:eastAsia="方正黑体_GBK" w:cs="Times New Roman" w:hAnsi="Times New Roman" w:hint="eastAsia"/>
          <w:sz w:val="44"/>
          <w:szCs w:val="44"/>
          <w:lang w:eastAsia="zh-CN"/>
        </w:rPr>
      </w:pPr>
      <w:r>
        <w:rPr>
          <w:rFonts w:ascii="Times New Roman" w:eastAsia="方正黑体_GBK" w:cs="Times New Roman" w:hAnsi="Times New Roman" w:hint="eastAsia"/>
          <w:sz w:val="44"/>
          <w:szCs w:val="44"/>
        </w:rPr>
        <w:t>法律法规规章涉及</w:t>
      </w:r>
      <w:r>
        <w:rPr>
          <w:rFonts w:ascii="Times New Roman" w:eastAsia="方正黑体_GBK" w:cs="Times New Roman" w:hAnsi="Times New Roman"/>
          <w:sz w:val="44"/>
          <w:szCs w:val="44"/>
        </w:rPr>
        <w:t>住宅小区</w:t>
      </w:r>
      <w:r>
        <w:rPr>
          <w:rFonts w:ascii="Times New Roman" w:eastAsia="方正黑体_GBK" w:cs="Times New Roman" w:hAnsi="Times New Roman" w:hint="eastAsia"/>
          <w:sz w:val="44"/>
          <w:szCs w:val="44"/>
        </w:rPr>
        <w:t>管理的</w:t>
      </w:r>
      <w:r>
        <w:rPr>
          <w:rFonts w:ascii="Times New Roman" w:eastAsia="方正黑体_GBK" w:cs="Times New Roman" w:hAnsi="Times New Roman" w:hint="eastAsia"/>
          <w:sz w:val="44"/>
          <w:szCs w:val="44"/>
          <w:lang w:val="en-US" w:eastAsia="zh-CN"/>
        </w:rPr>
        <w:t>执法</w:t>
      </w:r>
      <w:r>
        <w:rPr>
          <w:rFonts w:ascii="Times New Roman" w:eastAsia="方正黑体_GBK" w:cs="Times New Roman" w:hAnsi="Times New Roman" w:hint="eastAsia"/>
          <w:sz w:val="44"/>
          <w:szCs w:val="44"/>
          <w:lang w:eastAsia="zh-CN"/>
        </w:rPr>
        <w:t>清单</w:t>
      </w:r>
    </w:p>
    <w:p>
      <w:pPr>
        <w:spacing w:line="340" w:lineRule="exact"/>
        <w:jc w:val="center"/>
        <w:rPr>
          <w:rFonts w:ascii="Times New Roman" w:eastAsia="方正仿宋_GBK" w:cs="Times New Roman" w:hAnsi="Times New Roman"/>
          <w:color w:val="000000"/>
          <w:sz w:val="28"/>
          <w:szCs w:val="28"/>
        </w:rPr>
      </w:pPr>
    </w:p>
    <w:tbl>
      <w:tblPr>
        <w:jc w:val="left"/>
        <w:tblInd w:w="0" w:type="dxa"/>
        <w:tblW w:w="14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11"/>
        <w:gridCol w:w="5533"/>
        <w:gridCol w:w="2482"/>
        <w:gridCol w:w="5181"/>
      </w:tblGrid>
      <w:tr>
        <w:trPr>
          <w:trHeight w:val="658"/>
        </w:trPr>
        <w:tc>
          <w:tcPr>
            <w:tcW w:w="811" w:type="dxa"/>
            <w:vAlign w:val="center"/>
          </w:tcPr>
          <w:p>
            <w:pPr>
              <w:spacing w:line="340" w:lineRule="exact"/>
              <w:rPr>
                <w:rFonts w:ascii="仿宋_GB2312" w:eastAsia="仿宋_GB2312" w:cs="仿宋_GB2312" w:hAnsi="仿宋_GB2312" w:hint="eastAsia"/>
                <w:b/>
                <w:bCs/>
                <w:color w:val="000000"/>
                <w:sz w:val="28"/>
                <w:szCs w:val="28"/>
              </w:rPr>
            </w:pPr>
            <w:r>
              <w:rPr>
                <w:rFonts w:ascii="仿宋_GB2312" w:eastAsia="仿宋_GB2312" w:cs="仿宋_GB2312" w:hAnsi="仿宋_GB2312" w:hint="eastAsia"/>
                <w:b/>
                <w:bCs/>
                <w:color w:val="000000"/>
                <w:sz w:val="28"/>
                <w:szCs w:val="28"/>
              </w:rPr>
              <w:t>序号</w:t>
            </w:r>
          </w:p>
        </w:tc>
        <w:tc>
          <w:tcPr>
            <w:tcW w:w="5533" w:type="dxa"/>
            <w:vAlign w:val="center"/>
          </w:tcPr>
          <w:p>
            <w:pPr>
              <w:spacing w:line="340" w:lineRule="exact"/>
              <w:jc w:val="center"/>
              <w:rPr>
                <w:rFonts w:ascii="仿宋_GB2312" w:eastAsia="仿宋_GB2312" w:cs="仿宋_GB2312" w:hAnsi="仿宋_GB2312" w:hint="eastAsia"/>
                <w:b/>
                <w:bCs/>
                <w:color w:val="000000"/>
                <w:sz w:val="28"/>
                <w:szCs w:val="28"/>
              </w:rPr>
            </w:pPr>
            <w:r>
              <w:rPr>
                <w:rFonts w:ascii="仿宋_GB2312" w:eastAsia="仿宋_GB2312" w:cs="仿宋_GB2312" w:hAnsi="仿宋_GB2312" w:hint="eastAsia"/>
                <w:b/>
                <w:bCs/>
                <w:color w:val="000000"/>
                <w:sz w:val="28"/>
                <w:szCs w:val="28"/>
              </w:rPr>
              <w:t>行政处罚类事项名称</w:t>
            </w:r>
          </w:p>
        </w:tc>
        <w:tc>
          <w:tcPr>
            <w:tcW w:w="2482" w:type="dxa"/>
            <w:vAlign w:val="center"/>
          </w:tcPr>
          <w:p>
            <w:pPr>
              <w:spacing w:line="340" w:lineRule="exact"/>
              <w:jc w:val="center"/>
              <w:rPr>
                <w:rFonts w:ascii="仿宋_GB2312" w:eastAsia="仿宋_GB2312" w:cs="仿宋_GB2312" w:hAnsi="仿宋_GB2312" w:hint="eastAsia"/>
                <w:b/>
                <w:bCs/>
                <w:color w:val="000000"/>
                <w:sz w:val="28"/>
                <w:szCs w:val="28"/>
              </w:rPr>
            </w:pPr>
            <w:r>
              <w:rPr>
                <w:rFonts w:ascii="仿宋_GB2312" w:eastAsia="仿宋_GB2312" w:cs="仿宋_GB2312" w:hAnsi="仿宋_GB2312" w:hint="eastAsia"/>
                <w:b/>
                <w:bCs/>
                <w:color w:val="000000"/>
                <w:sz w:val="28"/>
                <w:szCs w:val="28"/>
              </w:rPr>
              <w:t>管理部门</w:t>
            </w:r>
          </w:p>
        </w:tc>
        <w:tc>
          <w:tcPr>
            <w:tcW w:w="5181" w:type="dxa"/>
            <w:vAlign w:val="center"/>
          </w:tcPr>
          <w:p>
            <w:pPr>
              <w:spacing w:line="340" w:lineRule="exact"/>
              <w:jc w:val="center"/>
              <w:rPr>
                <w:rFonts w:ascii="仿宋_GB2312" w:eastAsia="仿宋_GB2312" w:cs="仿宋_GB2312" w:hAnsi="仿宋_GB2312" w:hint="eastAsia"/>
                <w:b/>
                <w:bCs/>
                <w:color w:val="000000"/>
                <w:sz w:val="28"/>
                <w:szCs w:val="28"/>
              </w:rPr>
            </w:pPr>
            <w:r>
              <w:rPr>
                <w:rFonts w:ascii="仿宋_GB2312" w:eastAsia="仿宋_GB2312" w:cs="仿宋_GB2312" w:hAnsi="仿宋_GB2312" w:hint="eastAsia"/>
                <w:b/>
                <w:bCs/>
                <w:color w:val="000000"/>
                <w:sz w:val="28"/>
                <w:szCs w:val="28"/>
              </w:rPr>
              <w:t>设定依据</w:t>
            </w:r>
          </w:p>
        </w:tc>
      </w:tr>
      <w:tr>
        <w:trPr>
          <w:trHeight w:val="658"/>
        </w:trPr>
        <w:tc>
          <w:tcPr>
            <w:tcW w:w="14007" w:type="dxa"/>
            <w:gridSpan w:val="4"/>
            <w:vAlign w:val="center"/>
          </w:tcPr>
          <w:p>
            <w:pPr>
              <w:spacing w:line="340" w:lineRule="exact"/>
              <w:rPr>
                <w:rFonts w:ascii="仿宋_GB2312" w:eastAsia="仿宋_GB2312" w:cs="仿宋_GB2312" w:hAnsi="仿宋_GB2312" w:hint="eastAsia"/>
                <w:b/>
                <w:bCs/>
                <w:color w:val="000000"/>
                <w:sz w:val="28"/>
                <w:szCs w:val="28"/>
              </w:rPr>
            </w:pPr>
            <w:r>
              <w:rPr>
                <w:rFonts w:ascii="仿宋_GB2312" w:eastAsia="仿宋_GB2312" w:cs="仿宋_GB2312" w:hAnsi="仿宋_GB2312" w:hint="eastAsia"/>
                <w:b/>
                <w:bCs/>
                <w:color w:val="000000"/>
                <w:sz w:val="28"/>
                <w:szCs w:val="28"/>
              </w:rPr>
              <w:t>（一）消防安全类</w:t>
            </w:r>
          </w:p>
        </w:tc>
      </w:tr>
      <w:tr>
        <w:tc>
          <w:tcPr>
            <w:tcW w:w="811" w:type="dxa"/>
            <w:vAlign w:val="center"/>
          </w:tcPr>
          <w:p>
            <w:pPr>
              <w:spacing w:line="340" w:lineRule="exact"/>
              <w:ind w:firstLineChars="100" w:firstLine="280"/>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1</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对携带电动自行车或者其蓄电池进入乘客电梯，拒不听从劝阻、制止的处罚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消防救援机构</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《南京市电梯安全条例》第六十条</w:t>
            </w:r>
          </w:p>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《南京市住宅物业管理条例》第八十二条</w:t>
            </w:r>
          </w:p>
        </w:tc>
      </w:tr>
      <w:tr>
        <w:tc>
          <w:tcPr>
            <w:tcW w:w="811" w:type="dxa"/>
            <w:vAlign w:val="center"/>
          </w:tcPr>
          <w:p>
            <w:pPr>
              <w:spacing w:line="340" w:lineRule="exact"/>
              <w:ind w:firstLineChars="100" w:firstLine="280"/>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2</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对占用、堵塞、封闭疏散通道、安全出口或者有其他妨</w:t>
            </w:r>
            <w:r>
              <w:rPr>
                <w:rFonts w:ascii="仿宋_GB2312" w:eastAsia="仿宋_GB2312" w:cs="仿宋_GB2312" w:hAnsi="仿宋_GB2312" w:hint="eastAsia"/>
                <w:color w:val="000000"/>
                <w:sz w:val="28"/>
                <w:szCs w:val="28"/>
                <w:shd w:val="clear" w:color="auto" w:fill="FFFFFF"/>
              </w:rPr>
              <w:t>碍安全疏散行为的处罚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消防救援机构</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《中华人民共和国消防法》第六十条</w:t>
            </w:r>
          </w:p>
        </w:tc>
      </w:tr>
      <w:tr>
        <w:tc>
          <w:tcPr>
            <w:tcW w:w="811" w:type="dxa"/>
            <w:vAlign w:val="center"/>
          </w:tcPr>
          <w:p>
            <w:pPr>
              <w:spacing w:line="340" w:lineRule="exact"/>
              <w:ind w:firstLineChars="100" w:firstLine="280"/>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3</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shd w:val="clear" w:color="auto" w:fill="FFFFFF"/>
              </w:rPr>
              <w:t>对占用、堵塞、封闭消防车通道，妨碍消防车通行的处罚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消防救援机构</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《中华人民共和国消防法》第六十条</w:t>
            </w:r>
          </w:p>
        </w:tc>
      </w:tr>
      <w:tr>
        <w:tc>
          <w:tcPr>
            <w:tcW w:w="811" w:type="dxa"/>
            <w:vAlign w:val="center"/>
          </w:tcPr>
          <w:p>
            <w:pPr>
              <w:spacing w:line="340" w:lineRule="exact"/>
              <w:ind w:firstLineChars="100" w:firstLine="280"/>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4</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shd w:val="clear" w:color="auto" w:fill="FFFFFF"/>
              </w:rPr>
            </w:pPr>
            <w:r>
              <w:rPr>
                <w:rFonts w:ascii="仿宋_GB2312" w:eastAsia="仿宋_GB2312" w:cs="仿宋_GB2312" w:hAnsi="仿宋_GB2312" w:hint="eastAsia"/>
                <w:color w:val="000000"/>
                <w:sz w:val="28"/>
                <w:szCs w:val="28"/>
                <w:shd w:val="clear" w:color="auto" w:fill="FFFFFF"/>
              </w:rPr>
              <w:t>对阻碍</w:t>
            </w:r>
            <w:r>
              <w:rPr>
                <w:rFonts w:ascii="仿宋_GB2312" w:eastAsia="仿宋_GB2312" w:cs="仿宋_GB2312" w:hAnsi="仿宋_GB2312" w:hint="eastAsia"/>
                <w:color w:val="000000"/>
                <w:sz w:val="28"/>
                <w:szCs w:val="28"/>
              </w:rPr>
              <w:t>消防车、消防艇</w:t>
            </w:r>
            <w:r>
              <w:rPr>
                <w:rFonts w:ascii="仿宋_GB2312" w:eastAsia="仿宋_GB2312" w:cs="仿宋_GB2312" w:hAnsi="仿宋_GB2312" w:hint="eastAsia"/>
                <w:color w:val="000000"/>
                <w:sz w:val="28"/>
                <w:szCs w:val="28"/>
                <w:lang w:eastAsia="zh-CN"/>
              </w:rPr>
              <w:t>执行任务</w:t>
            </w:r>
            <w:r>
              <w:rPr>
                <w:rFonts w:ascii="仿宋_GB2312" w:eastAsia="仿宋_GB2312" w:cs="仿宋_GB2312" w:hAnsi="仿宋_GB2312" w:hint="eastAsia"/>
                <w:color w:val="000000"/>
                <w:sz w:val="28"/>
                <w:szCs w:val="28"/>
              </w:rPr>
              <w:t>的</w:t>
            </w:r>
            <w:r>
              <w:rPr>
                <w:rFonts w:ascii="仿宋_GB2312" w:eastAsia="仿宋_GB2312" w:cs="仿宋_GB2312" w:hAnsi="仿宋_GB2312" w:hint="eastAsia"/>
                <w:color w:val="000000"/>
                <w:sz w:val="28"/>
                <w:szCs w:val="28"/>
                <w:shd w:val="clear" w:color="auto" w:fill="FFFFFF"/>
              </w:rPr>
              <w:t>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公安部门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《中华人民共和国消防法》第六十二条</w:t>
            </w:r>
          </w:p>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《中华人民共和国治安管理处罚法》第</w:t>
            </w:r>
            <w:r>
              <w:rPr>
                <w:rFonts w:ascii="仿宋_GB2312" w:eastAsia="仿宋_GB2312" w:cs="仿宋_GB2312" w:hAnsi="仿宋_GB2312" w:hint="eastAsia"/>
                <w:color w:val="000000"/>
                <w:sz w:val="28"/>
                <w:szCs w:val="28"/>
                <w:lang w:eastAsia="zh-CN"/>
                <w:highlight w:val="auto"/>
              </w:rPr>
              <w:t>六十一</w:t>
            </w:r>
            <w:r>
              <w:rPr>
                <w:rFonts w:ascii="仿宋_GB2312" w:eastAsia="仿宋_GB2312" w:cs="仿宋_GB2312" w:hAnsi="仿宋_GB2312" w:hint="eastAsia"/>
                <w:color w:val="000000"/>
                <w:sz w:val="28"/>
                <w:szCs w:val="28"/>
                <w:highlight w:val="auto"/>
              </w:rPr>
              <w:t>条</w:t>
            </w:r>
          </w:p>
        </w:tc>
      </w:tr>
      <w:tr>
        <w:tc>
          <w:tcPr>
            <w:tcW w:w="811" w:type="dxa"/>
            <w:vAlign w:val="center"/>
          </w:tcPr>
          <w:p>
            <w:pPr>
              <w:spacing w:line="340" w:lineRule="exact"/>
              <w:ind w:firstLineChars="100" w:firstLine="280"/>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5</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shd w:val="clear" w:color="auto" w:fill="FFFFFF"/>
              </w:rPr>
            </w:pPr>
            <w:r>
              <w:rPr>
                <w:rFonts w:ascii="仿宋_GB2312" w:eastAsia="仿宋_GB2312" w:cs="仿宋_GB2312" w:hAnsi="仿宋_GB2312" w:hint="eastAsia"/>
                <w:color w:val="000000"/>
                <w:sz w:val="28"/>
                <w:szCs w:val="28"/>
                <w:shd w:val="clear" w:color="auto" w:fill="FFFFFF"/>
              </w:rPr>
              <w:t>对阻拦、不及时报告火警的处罚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公安部门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《中华人民共和国消防法》第六十四条</w:t>
            </w:r>
          </w:p>
        </w:tc>
      </w:tr>
      <w:tr>
        <w:tc>
          <w:tcPr>
            <w:tcW w:w="811" w:type="dxa"/>
            <w:vAlign w:val="center"/>
          </w:tcPr>
          <w:p>
            <w:pPr>
              <w:spacing w:line="340" w:lineRule="exact"/>
              <w:ind w:firstLineChars="100" w:firstLine="280"/>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6</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shd w:val="clear" w:color="auto" w:fill="FFFFFF"/>
              </w:rPr>
            </w:pPr>
            <w:r>
              <w:rPr>
                <w:rFonts w:ascii="仿宋_GB2312" w:eastAsia="仿宋_GB2312" w:cs="仿宋_GB2312" w:hAnsi="仿宋_GB2312" w:hint="eastAsia"/>
                <w:color w:val="000000"/>
                <w:sz w:val="28"/>
                <w:szCs w:val="28"/>
                <w:shd w:val="clear" w:color="auto" w:fill="FFFFFF"/>
              </w:rPr>
              <w:t>对违反规定使用明火作业的处罚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公安部门、消防救援机构</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《中华人民共和国消防法》第六十三条</w:t>
            </w:r>
          </w:p>
        </w:tc>
      </w:tr>
      <w:tr>
        <w:tc>
          <w:tcPr>
            <w:tcW w:w="811" w:type="dxa"/>
            <w:vAlign w:val="center"/>
          </w:tcPr>
          <w:p>
            <w:pPr>
              <w:spacing w:line="340" w:lineRule="exact"/>
              <w:ind w:firstLineChars="100" w:firstLine="280"/>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7</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shd w:val="clear" w:color="auto" w:fill="FFFFFF"/>
              </w:rPr>
            </w:pPr>
            <w:r>
              <w:rPr>
                <w:rFonts w:ascii="仿宋_GB2312" w:eastAsia="仿宋_GB2312" w:cs="仿宋_GB2312" w:hAnsi="仿宋_GB2312" w:hint="eastAsia"/>
                <w:color w:val="000000"/>
                <w:sz w:val="28"/>
                <w:szCs w:val="28"/>
                <w:shd w:val="clear" w:color="auto" w:fill="FFFFFF"/>
              </w:rPr>
              <w:t>对扰乱火灾现场秩序的处罚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公安部门、消防救援机构</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《中华人民共和国消防法》第六十四条、第七十条</w:t>
            </w:r>
          </w:p>
        </w:tc>
      </w:tr>
      <w:tr>
        <w:tc>
          <w:tcPr>
            <w:tcW w:w="811" w:type="dxa"/>
            <w:vAlign w:val="center"/>
          </w:tcPr>
          <w:p>
            <w:pPr>
              <w:spacing w:line="340" w:lineRule="exact"/>
              <w:ind w:firstLineChars="100" w:firstLine="280"/>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8</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shd w:val="clear" w:color="auto" w:fill="FFFFFF"/>
              </w:rPr>
            </w:pPr>
            <w:r>
              <w:rPr>
                <w:rFonts w:ascii="仿宋_GB2312" w:eastAsia="仿宋_GB2312" w:cs="仿宋_GB2312" w:hAnsi="仿宋_GB2312" w:hint="eastAsia"/>
                <w:color w:val="000000"/>
                <w:sz w:val="28"/>
                <w:szCs w:val="28"/>
                <w:shd w:val="clear" w:color="auto" w:fill="FFFFFF"/>
              </w:rPr>
              <w:t>对违法生产、储存、运输、销售、使用、销毁易燃易爆危险品的处罚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公安部门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《中华人民共和国消防法》第六十二条</w:t>
            </w:r>
          </w:p>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《中华人民共和国治安管理处罚法》第三十</w:t>
            </w:r>
            <w:r>
              <w:rPr>
                <w:rFonts w:ascii="仿宋_GB2312" w:eastAsia="仿宋_GB2312" w:cs="仿宋_GB2312" w:hAnsi="仿宋_GB2312" w:hint="eastAsia"/>
                <w:color w:val="000000"/>
                <w:sz w:val="28"/>
                <w:szCs w:val="28"/>
                <w:lang w:eastAsia="zh-CN"/>
              </w:rPr>
              <w:t>六</w:t>
            </w:r>
            <w:r>
              <w:rPr>
                <w:rFonts w:ascii="仿宋_GB2312" w:eastAsia="仿宋_GB2312" w:cs="仿宋_GB2312" w:hAnsi="仿宋_GB2312" w:hint="eastAsia"/>
                <w:color w:val="000000"/>
                <w:sz w:val="28"/>
                <w:szCs w:val="28"/>
              </w:rPr>
              <w:t>条</w:t>
            </w:r>
          </w:p>
        </w:tc>
      </w:tr>
      <w:tr>
        <w:tc>
          <w:tcPr>
            <w:tcW w:w="811" w:type="dxa"/>
            <w:vAlign w:val="center"/>
          </w:tcPr>
          <w:p>
            <w:pPr>
              <w:spacing w:line="340" w:lineRule="exact"/>
              <w:ind w:firstLineChars="100" w:firstLine="280"/>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9</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shd w:val="clear" w:color="auto" w:fill="FFFFFF"/>
              </w:rPr>
            </w:pPr>
            <w:r>
              <w:rPr>
                <w:rFonts w:ascii="仿宋_GB2312" w:eastAsia="仿宋_GB2312" w:cs="仿宋_GB2312" w:hAnsi="仿宋_GB2312" w:hint="eastAsia"/>
                <w:color w:val="000000"/>
                <w:sz w:val="28"/>
                <w:szCs w:val="28"/>
                <w:shd w:val="clear" w:color="auto" w:fill="FFFFFF"/>
              </w:rPr>
              <w:t>对违反规定使用产生烟火的物品的处罚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消防救援机构</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《江苏省消防条例》第八十四条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10</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shd w:val="clear" w:color="auto" w:fill="FFFFFF"/>
              </w:rPr>
            </w:pPr>
            <w:r>
              <w:rPr>
                <w:rFonts w:ascii="仿宋_GB2312" w:eastAsia="仿宋_GB2312" w:cs="仿宋_GB2312" w:hAnsi="仿宋_GB2312" w:hint="eastAsia"/>
                <w:color w:val="000000"/>
                <w:sz w:val="28"/>
                <w:szCs w:val="28"/>
                <w:shd w:val="clear" w:color="auto" w:fill="FFFFFF"/>
              </w:rPr>
              <w:t>对过失引起火灾的处罚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公安部门、消防救援机构</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《中华人民共和国消防法》第六十四条、第七十条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11</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shd w:val="clear" w:color="auto" w:fill="FFFFFF"/>
              </w:rPr>
            </w:pPr>
            <w:r>
              <w:rPr>
                <w:rFonts w:ascii="仿宋_GB2312" w:eastAsia="仿宋_GB2312" w:cs="仿宋_GB2312" w:hAnsi="仿宋_GB2312" w:hint="eastAsia"/>
                <w:i w:val="0"/>
                <w:caps w:val="0"/>
                <w:smallCaps w:val="0"/>
                <w:color w:val="000000"/>
                <w:spacing w:val="0"/>
                <w:sz w:val="28"/>
                <w:szCs w:val="28"/>
                <w:u w:val="none"/>
                <w:shd w:val="clear" w:color="auto" w:fill="FFFFFF"/>
                <w:lang w:eastAsia="zh-CN"/>
              </w:rPr>
              <w:t>对</w:t>
            </w:r>
            <w:r>
              <w:rPr>
                <w:rFonts w:ascii="仿宋_GB2312" w:eastAsia="仿宋_GB2312" w:cs="仿宋_GB2312" w:hAnsi="仿宋_GB2312" w:hint="eastAsia"/>
                <w:i w:val="0"/>
                <w:caps w:val="0"/>
                <w:smallCaps w:val="0"/>
                <w:color w:val="000000"/>
                <w:spacing w:val="0"/>
                <w:sz w:val="28"/>
                <w:szCs w:val="28"/>
                <w:u w:val="none"/>
                <w:shd w:val="clear" w:color="auto" w:fill="FFFFFF"/>
              </w:rPr>
              <w:t>人员密集场所发生火灾，该场所的现场工作人员不履行组织、引导在场人员疏散的义务</w:t>
            </w:r>
            <w:r>
              <w:rPr>
                <w:rFonts w:ascii="仿宋_GB2312" w:eastAsia="仿宋_GB2312" w:cs="仿宋_GB2312" w:hAnsi="仿宋_GB2312" w:hint="eastAsia"/>
                <w:color w:val="000000"/>
                <w:sz w:val="28"/>
                <w:szCs w:val="28"/>
                <w:shd w:val="clear" w:color="auto" w:fill="FFFFFF"/>
              </w:rPr>
              <w:t>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公安部门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《中华人民共和国消防法》第六十八条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12</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shd w:val="clear" w:color="auto" w:fill="FFFFFF"/>
              </w:rPr>
              <w:t>对生产、储存、经营其他物品的场所与居住场所设置在同一建筑物内，不符合消防技术标准的处罚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消防救援机构</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《中华人民共和国消防法》第六十一条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13</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shd w:val="clear" w:color="auto" w:fill="FFFFFF"/>
              </w:rPr>
            </w:pPr>
            <w:r>
              <w:rPr>
                <w:rFonts w:ascii="仿宋_GB2312" w:eastAsia="仿宋_GB2312" w:cs="仿宋_GB2312" w:hAnsi="仿宋_GB2312" w:hint="eastAsia"/>
                <w:color w:val="000000"/>
                <w:sz w:val="28"/>
                <w:szCs w:val="28"/>
                <w:shd w:val="clear" w:color="auto" w:fill="FFFFFF"/>
              </w:rPr>
              <w:t>对在高层民用建筑的公共门厅、疏散走道、楼梯间、安全出口停放电动自行车或者为电动自行车充电，拒不改正的处罚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shd w:val="clear" w:color="auto" w:fill="FFFFFF"/>
              </w:rPr>
            </w:pPr>
            <w:r>
              <w:rPr>
                <w:rFonts w:ascii="仿宋_GB2312" w:eastAsia="仿宋_GB2312" w:cs="仿宋_GB2312" w:hAnsi="仿宋_GB2312" w:hint="eastAsia"/>
                <w:color w:val="000000"/>
                <w:sz w:val="28"/>
                <w:szCs w:val="28"/>
                <w:shd w:val="clear" w:color="auto" w:fill="FFFFFF"/>
              </w:rPr>
              <w:t>消防救援机构</w:t>
            </w:r>
          </w:p>
        </w:tc>
        <w:tc>
          <w:tcPr>
            <w:tcW w:w="5181" w:type="dxa"/>
          </w:tcPr>
          <w:p>
            <w:pPr>
              <w:spacing w:line="340" w:lineRule="exact"/>
              <w:rPr>
                <w:rFonts w:ascii="仿宋_GB2312" w:eastAsia="仿宋_GB2312" w:cs="仿宋_GB2312" w:hAnsi="仿宋_GB2312" w:hint="eastAsia"/>
                <w:color w:val="000000"/>
                <w:sz w:val="28"/>
                <w:szCs w:val="28"/>
                <w:shd w:val="clear" w:color="auto" w:fill="FFFFFF"/>
              </w:rPr>
            </w:pPr>
            <w:r>
              <w:rPr>
                <w:rFonts w:ascii="仿宋_GB2312" w:eastAsia="仿宋_GB2312" w:cs="仿宋_GB2312" w:hAnsi="仿宋_GB2312" w:hint="eastAsia"/>
                <w:color w:val="000000"/>
                <w:sz w:val="28"/>
                <w:szCs w:val="28"/>
                <w:shd w:val="clear" w:color="auto" w:fill="FFFFFF"/>
              </w:rPr>
              <w:t>《高层民用建筑消防安全管理规定》第四十七条</w:t>
            </w:r>
          </w:p>
          <w:p>
            <w:pPr>
              <w:spacing w:line="340" w:lineRule="exact"/>
              <w:rPr>
                <w:rFonts w:ascii="仿宋_GB2312" w:eastAsia="仿宋_GB2312" w:cs="仿宋_GB2312" w:hAnsi="仿宋_GB2312" w:hint="eastAsia"/>
                <w:color w:val="000000"/>
                <w:sz w:val="28"/>
                <w:szCs w:val="28"/>
                <w:shd w:val="clear" w:color="auto" w:fill="FFFFFF"/>
              </w:rPr>
            </w:pPr>
          </w:p>
        </w:tc>
      </w:tr>
      <w:tr>
        <w:trPr>
          <w:trHeight w:val="90"/>
        </w:trP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14</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shd w:val="clear" w:color="auto" w:fill="FFFFFF"/>
              </w:rPr>
            </w:pPr>
            <w:r>
              <w:rPr>
                <w:rFonts w:ascii="仿宋_GB2312" w:eastAsia="仿宋_GB2312" w:cs="仿宋_GB2312" w:hAnsi="仿宋_GB2312" w:hint="eastAsia"/>
                <w:color w:val="000000"/>
                <w:sz w:val="28"/>
                <w:szCs w:val="28"/>
                <w:shd w:val="clear" w:color="auto" w:fill="FFFFFF"/>
              </w:rPr>
              <w:t>对在高层民用建筑内进行电焊、气焊等明火作业，未履行动火审批手续、进行公告，或者未落实消防现场监护措施的处罚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shd w:val="clear" w:color="auto" w:fill="FFFFFF"/>
              </w:rPr>
            </w:pPr>
            <w:r>
              <w:rPr>
                <w:rFonts w:ascii="仿宋_GB2312" w:eastAsia="仿宋_GB2312" w:cs="仿宋_GB2312" w:hAnsi="仿宋_GB2312" w:hint="eastAsia"/>
                <w:color w:val="000000"/>
                <w:sz w:val="28"/>
                <w:szCs w:val="28"/>
                <w:shd w:val="clear" w:color="auto" w:fill="FFFFFF"/>
              </w:rPr>
              <w:t>消防救援机构</w:t>
            </w:r>
          </w:p>
        </w:tc>
        <w:tc>
          <w:tcPr>
            <w:tcW w:w="5181" w:type="dxa"/>
          </w:tcPr>
          <w:p>
            <w:pPr>
              <w:spacing w:line="340" w:lineRule="exact"/>
              <w:rPr>
                <w:rFonts w:ascii="仿宋_GB2312" w:eastAsia="仿宋_GB2312" w:cs="仿宋_GB2312" w:hAnsi="仿宋_GB2312" w:hint="eastAsia"/>
                <w:color w:val="000000"/>
                <w:sz w:val="28"/>
                <w:szCs w:val="28"/>
                <w:shd w:val="clear" w:color="auto" w:fill="FFFFFF"/>
              </w:rPr>
            </w:pPr>
            <w:r>
              <w:rPr>
                <w:rFonts w:ascii="仿宋_GB2312" w:eastAsia="仿宋_GB2312" w:cs="仿宋_GB2312" w:hAnsi="仿宋_GB2312" w:hint="eastAsia"/>
                <w:color w:val="000000"/>
                <w:sz w:val="28"/>
                <w:szCs w:val="28"/>
                <w:shd w:val="clear" w:color="auto" w:fill="FFFFFF"/>
              </w:rPr>
              <w:t>《高层民用建筑消防安全管理规定》第四十七条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15</w:t>
            </w:r>
          </w:p>
        </w:tc>
        <w:tc>
          <w:tcPr>
            <w:tcW w:w="5533" w:type="dxa"/>
            <w:tcBorders>
              <w:top w:val="single" w:sz="4" w:space="0" w:color="auto"/>
              <w:left w:val="single" w:sz="4" w:space="0" w:color="auto"/>
              <w:right w:val="single" w:sz="4" w:space="0" w:color="auto"/>
            </w:tcBorders>
          </w:tcPr>
          <w:p>
            <w:pPr>
              <w:widowControl/>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kern w:val="0"/>
                <w:sz w:val="28"/>
                <w:szCs w:val="28"/>
              </w:rPr>
              <w:t>对</w:t>
            </w:r>
            <w:r>
              <w:rPr>
                <w:rFonts w:ascii="仿宋_GB2312" w:eastAsia="仿宋_GB2312" w:cs="仿宋_GB2312" w:hAnsi="仿宋_GB2312" w:hint="eastAsia"/>
                <w:color w:val="000000"/>
                <w:kern w:val="2"/>
                <w:sz w:val="28"/>
                <w:szCs w:val="28"/>
                <w:shd w:val="clear" w:color="auto" w:fill="FFFFFF"/>
                <w:lang w:eastAsia="zh-CN"/>
              </w:rPr>
              <w:t>在</w:t>
            </w:r>
            <w:r>
              <w:rPr>
                <w:rFonts w:ascii="仿宋_GB2312" w:eastAsia="仿宋_GB2312" w:cs="仿宋_GB2312" w:hAnsi="仿宋_GB2312" w:hint="eastAsia"/>
                <w:i w:val="0"/>
                <w:caps w:val="0"/>
                <w:smallCaps w:val="0"/>
                <w:color w:val="000000"/>
                <w:spacing w:val="0"/>
                <w:sz w:val="28"/>
                <w:szCs w:val="28"/>
                <w:u w:val="none"/>
                <w:shd w:val="clear" w:color="auto" w:fill="FFFFFF"/>
              </w:rPr>
              <w:t>人员密集场所使用不合格的消防产品或者国家明令淘汰的消防产品</w:t>
            </w:r>
            <w:r>
              <w:rPr>
                <w:rFonts w:ascii="仿宋_GB2312" w:eastAsia="仿宋_GB2312" w:cs="仿宋_GB2312" w:hAnsi="仿宋_GB2312" w:hint="eastAsia"/>
                <w:color w:val="000000"/>
                <w:kern w:val="0"/>
                <w:sz w:val="28"/>
                <w:szCs w:val="28"/>
              </w:rPr>
              <w:t>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消防救援机构</w:t>
            </w:r>
          </w:p>
        </w:tc>
        <w:tc>
          <w:tcPr>
            <w:tcW w:w="5181" w:type="dxa"/>
          </w:tcPr>
          <w:p>
            <w:pPr>
              <w:widowControl/>
              <w:spacing w:line="340" w:lineRule="exact"/>
              <w:jc w:val="lef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kern w:val="0"/>
                <w:sz w:val="28"/>
                <w:szCs w:val="28"/>
              </w:rPr>
              <w:t>《中华人民共和国消防法》第六十五条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16</w:t>
            </w:r>
          </w:p>
        </w:tc>
        <w:tc>
          <w:tcPr>
            <w:tcW w:w="5533" w:type="dxa"/>
            <w:tcBorders>
              <w:top w:val="single" w:sz="4" w:space="0" w:color="auto"/>
              <w:left w:val="single" w:sz="4" w:space="0" w:color="auto"/>
              <w:right w:val="single" w:sz="4" w:space="0" w:color="auto"/>
            </w:tcBorders>
          </w:tcPr>
          <w:p>
            <w:pPr>
              <w:widowControl/>
              <w:spacing w:line="340" w:lineRule="exact"/>
              <w:rPr>
                <w:rFonts w:ascii="仿宋_GB2312" w:eastAsia="仿宋_GB2312" w:cs="仿宋_GB2312" w:hAnsi="仿宋_GB2312" w:hint="eastAsia"/>
                <w:color w:val="000000"/>
                <w:kern w:val="0"/>
                <w:sz w:val="28"/>
                <w:szCs w:val="28"/>
                <w:lang w:eastAsia="zh-CN"/>
              </w:rPr>
            </w:pPr>
            <w:r>
              <w:rPr>
                <w:rFonts w:ascii="仿宋_GB2312" w:eastAsia="仿宋_GB2312" w:cs="仿宋_GB2312" w:hAnsi="仿宋_GB2312" w:hint="eastAsia"/>
                <w:i w:val="0"/>
                <w:iCs w:val="0"/>
                <w:caps w:val="0"/>
                <w:smallCaps w:val="0"/>
                <w:color w:val="000000"/>
                <w:spacing w:val="0"/>
                <w:sz w:val="28"/>
                <w:szCs w:val="28"/>
                <w:u w:val="none"/>
                <w:shd w:val="clear" w:color="auto" w:fill="FFFFFF"/>
                <w:lang w:eastAsia="zh-CN"/>
              </w:rPr>
              <w:t>对在</w:t>
            </w:r>
            <w:r>
              <w:rPr>
                <w:rFonts w:ascii="仿宋_GB2312" w:eastAsia="仿宋_GB2312" w:cs="仿宋_GB2312" w:hAnsi="仿宋_GB2312" w:hint="eastAsia"/>
                <w:i w:val="0"/>
                <w:iCs w:val="0"/>
                <w:caps w:val="0"/>
                <w:smallCaps w:val="0"/>
                <w:color w:val="000000"/>
                <w:spacing w:val="0"/>
                <w:sz w:val="28"/>
                <w:szCs w:val="28"/>
                <w:u w:val="none"/>
                <w:shd w:val="clear" w:color="auto" w:fill="FFFFFF"/>
              </w:rPr>
              <w:t>非人员密集场所使用不符合市场准入的消防产品、不合格的消防产品或者国家明令淘汰的消防产品的</w:t>
            </w:r>
            <w:r>
              <w:rPr>
                <w:rFonts w:ascii="仿宋_GB2312" w:eastAsia="仿宋_GB2312" w:cs="仿宋_GB2312" w:hAnsi="仿宋_GB2312" w:hint="eastAsia"/>
                <w:i w:val="0"/>
                <w:iCs w:val="0"/>
                <w:caps w:val="0"/>
                <w:smallCaps w:val="0"/>
                <w:color w:val="000000"/>
                <w:spacing w:val="0"/>
                <w:sz w:val="28"/>
                <w:szCs w:val="28"/>
                <w:u w:val="none"/>
                <w:shd w:val="clear" w:color="auto" w:fill="FFFFFF"/>
                <w:lang w:eastAsia="zh-CN"/>
              </w:rPr>
              <w:t>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消防救援机构</w:t>
            </w:r>
          </w:p>
        </w:tc>
        <w:tc>
          <w:tcPr>
            <w:tcW w:w="5181" w:type="dxa"/>
          </w:tcPr>
          <w:p>
            <w:pPr>
              <w:widowControl/>
              <w:spacing w:line="340" w:lineRule="exact"/>
              <w:jc w:val="lef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《消防产品监督管理规定》第三十六条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1</w:t>
            </w:r>
            <w:r>
              <w:rPr>
                <w:rFonts w:ascii="仿宋_GB2312" w:eastAsia="仿宋_GB2312" w:cs="仿宋_GB2312" w:hAnsi="仿宋_GB2312" w:hint="eastAsia"/>
                <w:color w:val="000000"/>
                <w:sz w:val="28"/>
                <w:szCs w:val="28"/>
                <w:lang w:val="en-US" w:eastAsia="zh-CN"/>
              </w:rPr>
              <w:t>7</w:t>
            </w:r>
          </w:p>
        </w:tc>
        <w:tc>
          <w:tcPr>
            <w:tcW w:w="5533" w:type="dxa"/>
            <w:tcBorders>
              <w:top w:val="single" w:sz="4" w:space="0" w:color="auto"/>
              <w:left w:val="single" w:sz="4" w:space="0" w:color="auto"/>
              <w:right w:val="single" w:sz="4" w:space="0" w:color="auto"/>
            </w:tcBorders>
          </w:tcPr>
          <w:p>
            <w:pPr>
              <w:widowControl/>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对消防技术服务机构</w:t>
            </w:r>
            <w:r>
              <w:rPr>
                <w:rFonts w:ascii="仿宋_GB2312" w:eastAsia="仿宋_GB2312" w:cs="仿宋_GB2312" w:hAnsi="仿宋_GB2312" w:hint="eastAsia"/>
                <w:color w:val="000000"/>
                <w:kern w:val="0"/>
                <w:sz w:val="28"/>
                <w:szCs w:val="28"/>
              </w:rPr>
              <w:t>承接</w:t>
            </w:r>
            <w:r>
              <w:rPr>
                <w:rFonts w:ascii="仿宋_GB2312" w:eastAsia="仿宋_GB2312" w:cs="仿宋_GB2312" w:hAnsi="仿宋_GB2312" w:hint="eastAsia"/>
                <w:color w:val="000000"/>
                <w:kern w:val="0"/>
                <w:sz w:val="28"/>
                <w:szCs w:val="28"/>
                <w:shd w:val="clear" w:color="auto" w:fill="FFFFFF"/>
              </w:rPr>
              <w:t>业务未依法与委托人签订消防技术服务合同的处罚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消防救援机构</w:t>
            </w:r>
          </w:p>
        </w:tc>
        <w:tc>
          <w:tcPr>
            <w:tcW w:w="5181" w:type="dxa"/>
          </w:tcPr>
          <w:p>
            <w:pPr>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《社会消防技术服务管理规定》第二十八条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1</w:t>
            </w:r>
            <w:r>
              <w:rPr>
                <w:rFonts w:ascii="仿宋_GB2312" w:eastAsia="仿宋_GB2312" w:cs="仿宋_GB2312" w:hAnsi="仿宋_GB2312" w:hint="eastAsia"/>
                <w:color w:val="000000"/>
                <w:sz w:val="28"/>
                <w:szCs w:val="28"/>
                <w:lang w:val="en-US" w:eastAsia="zh-CN"/>
              </w:rPr>
              <w:t>8</w:t>
            </w:r>
          </w:p>
        </w:tc>
        <w:tc>
          <w:tcPr>
            <w:tcW w:w="5533" w:type="dxa"/>
            <w:tcBorders>
              <w:top w:val="single" w:sz="4" w:space="0" w:color="auto"/>
              <w:left w:val="single" w:sz="4" w:space="0" w:color="auto"/>
              <w:right w:val="single" w:sz="4" w:space="0" w:color="auto"/>
            </w:tcBorders>
          </w:tcPr>
          <w:p>
            <w:pPr>
              <w:widowControl/>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对损坏、挪用或者擅自拆除、停用消防设施、器材的处罚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消防救援机构</w:t>
            </w:r>
          </w:p>
        </w:tc>
        <w:tc>
          <w:tcPr>
            <w:tcW w:w="5181" w:type="dxa"/>
          </w:tcPr>
          <w:p>
            <w:pPr>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《中华人民共和国消防法》第六十条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1</w:t>
            </w:r>
            <w:r>
              <w:rPr>
                <w:rFonts w:ascii="仿宋_GB2312" w:eastAsia="仿宋_GB2312" w:cs="仿宋_GB2312" w:hAnsi="仿宋_GB2312" w:hint="eastAsia"/>
                <w:color w:val="000000"/>
                <w:sz w:val="28"/>
                <w:szCs w:val="28"/>
                <w:lang w:val="en-US" w:eastAsia="zh-CN"/>
              </w:rPr>
              <w:t>9</w:t>
            </w:r>
          </w:p>
        </w:tc>
        <w:tc>
          <w:tcPr>
            <w:tcW w:w="5533" w:type="dxa"/>
            <w:tcBorders>
              <w:top w:val="single" w:sz="4" w:space="0" w:color="auto"/>
              <w:left w:val="single" w:sz="4" w:space="0" w:color="auto"/>
              <w:right w:val="single" w:sz="4" w:space="0" w:color="auto"/>
            </w:tcBorders>
          </w:tcPr>
          <w:p>
            <w:pPr>
              <w:widowControl/>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对埋压、圈占、遮挡消火栓或者占用防火间距的处罚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消防救援机构</w:t>
            </w:r>
          </w:p>
        </w:tc>
        <w:tc>
          <w:tcPr>
            <w:tcW w:w="5181" w:type="dxa"/>
          </w:tcPr>
          <w:p>
            <w:pPr>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《中华人民共和国消防法》第六十条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lang w:val="en-US" w:eastAsia="zh-CN"/>
              </w:rPr>
              <w:t>20</w:t>
            </w:r>
          </w:p>
        </w:tc>
        <w:tc>
          <w:tcPr>
            <w:tcW w:w="5533" w:type="dxa"/>
            <w:tcBorders>
              <w:top w:val="single" w:sz="4" w:space="0" w:color="auto"/>
              <w:left w:val="single" w:sz="4" w:space="0" w:color="auto"/>
              <w:right w:val="single" w:sz="4" w:space="0" w:color="auto"/>
            </w:tcBorders>
          </w:tcPr>
          <w:p>
            <w:pPr>
              <w:widowControl/>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对人员密集场所在门窗上设置影响逃生和灭火救援的障碍物的处罚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消防救援机构</w:t>
            </w:r>
          </w:p>
        </w:tc>
        <w:tc>
          <w:tcPr>
            <w:tcW w:w="5181" w:type="dxa"/>
          </w:tcPr>
          <w:p>
            <w:pPr>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《中华人民共和国消防法》第六十条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2</w:t>
            </w:r>
            <w:r>
              <w:rPr>
                <w:rFonts w:ascii="仿宋_GB2312" w:eastAsia="仿宋_GB2312" w:cs="仿宋_GB2312" w:hAnsi="仿宋_GB2312" w:hint="eastAsia"/>
                <w:color w:val="000000"/>
                <w:sz w:val="28"/>
                <w:szCs w:val="28"/>
                <w:lang w:val="en-US" w:eastAsia="zh-CN"/>
              </w:rPr>
              <w:t>1</w:t>
            </w:r>
          </w:p>
        </w:tc>
        <w:tc>
          <w:tcPr>
            <w:tcW w:w="5533" w:type="dxa"/>
            <w:tcBorders>
              <w:top w:val="single" w:sz="4" w:space="0" w:color="auto"/>
              <w:left w:val="single" w:sz="4" w:space="0" w:color="auto"/>
              <w:right w:val="single" w:sz="4" w:space="0" w:color="auto"/>
            </w:tcBorders>
          </w:tcPr>
          <w:p>
            <w:pPr>
              <w:widowControl/>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对火灾隐患经消防救援机构通知后不及时采取措施消除的处罚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消防救援机构</w:t>
            </w:r>
          </w:p>
        </w:tc>
        <w:tc>
          <w:tcPr>
            <w:tcW w:w="5181" w:type="dxa"/>
          </w:tcPr>
          <w:p>
            <w:pPr>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《中华人民共和国消防法》第六十条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2</w:t>
            </w:r>
            <w:r>
              <w:rPr>
                <w:rFonts w:ascii="仿宋_GB2312" w:eastAsia="仿宋_GB2312" w:cs="仿宋_GB2312" w:hAnsi="仿宋_GB2312" w:hint="eastAsia"/>
                <w:color w:val="000000"/>
                <w:sz w:val="28"/>
                <w:szCs w:val="28"/>
                <w:lang w:val="en-US" w:eastAsia="zh-CN"/>
              </w:rPr>
              <w:t>2</w:t>
            </w:r>
          </w:p>
        </w:tc>
        <w:tc>
          <w:tcPr>
            <w:tcW w:w="5533" w:type="dxa"/>
            <w:tcBorders>
              <w:top w:val="single" w:sz="4" w:space="0" w:color="auto"/>
              <w:left w:val="single" w:sz="4" w:space="0" w:color="auto"/>
              <w:right w:val="single" w:sz="4" w:space="0" w:color="auto"/>
            </w:tcBorders>
          </w:tcPr>
          <w:p>
            <w:pPr>
              <w:widowControl/>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对未按照规定落实消防控制室值班制度，或者安排不具备相应条件的人员值班的处罚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消防救援机构</w:t>
            </w:r>
          </w:p>
        </w:tc>
        <w:tc>
          <w:tcPr>
            <w:tcW w:w="5181" w:type="dxa"/>
          </w:tcPr>
          <w:p>
            <w:pPr>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《高层民用建筑消防安全管理规定》第四十七条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2</w:t>
            </w:r>
            <w:r>
              <w:rPr>
                <w:rFonts w:ascii="仿宋_GB2312" w:eastAsia="仿宋_GB2312" w:cs="仿宋_GB2312" w:hAnsi="仿宋_GB2312" w:hint="eastAsia"/>
                <w:color w:val="000000"/>
                <w:sz w:val="28"/>
                <w:szCs w:val="28"/>
                <w:lang w:val="en-US" w:eastAsia="zh-CN"/>
              </w:rPr>
              <w:t>3</w:t>
            </w:r>
          </w:p>
        </w:tc>
        <w:tc>
          <w:tcPr>
            <w:tcW w:w="5533" w:type="dxa"/>
            <w:tcBorders>
              <w:top w:val="single" w:sz="4" w:space="0" w:color="auto"/>
              <w:left w:val="single" w:sz="4" w:space="0" w:color="auto"/>
              <w:right w:val="single" w:sz="4" w:space="0" w:color="auto"/>
            </w:tcBorders>
          </w:tcPr>
          <w:p>
            <w:pPr>
              <w:widowControl/>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对高层民用建筑设置的户外广告牌、外装饰妨碍防烟排烟、逃生和灭火救援，或者改变、破坏建筑立面防火结构的处罚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消防救援机构</w:t>
            </w:r>
          </w:p>
        </w:tc>
        <w:tc>
          <w:tcPr>
            <w:tcW w:w="5181" w:type="dxa"/>
          </w:tcPr>
          <w:p>
            <w:pPr>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《高层民用建筑消防安全管理规定》第四十七条</w:t>
            </w:r>
          </w:p>
        </w:tc>
      </w:tr>
      <w:tr>
        <w:trPr>
          <w:trHeight w:val="660"/>
        </w:trPr>
        <w:tc>
          <w:tcPr>
            <w:tcW w:w="14007" w:type="dxa"/>
            <w:gridSpan w:val="4"/>
            <w:vAlign w:val="center"/>
          </w:tcPr>
          <w:p>
            <w:pPr>
              <w:spacing w:line="340" w:lineRule="exact"/>
              <w:rPr>
                <w:rFonts w:ascii="仿宋_GB2312" w:eastAsia="仿宋_GB2312" w:cs="仿宋_GB2312" w:hAnsi="仿宋_GB2312" w:hint="eastAsia"/>
                <w:b/>
                <w:bCs/>
                <w:color w:val="000000"/>
                <w:sz w:val="28"/>
                <w:szCs w:val="28"/>
              </w:rPr>
            </w:pPr>
            <w:r>
              <w:rPr>
                <w:rFonts w:ascii="仿宋_GB2312" w:eastAsia="仿宋_GB2312" w:cs="仿宋_GB2312" w:hAnsi="仿宋_GB2312" w:hint="eastAsia"/>
                <w:b/>
                <w:bCs/>
                <w:color w:val="000000"/>
                <w:sz w:val="28"/>
                <w:szCs w:val="28"/>
              </w:rPr>
              <w:t>（二）燃气管理类</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2</w:t>
            </w:r>
            <w:r>
              <w:rPr>
                <w:rFonts w:ascii="仿宋_GB2312" w:eastAsia="仿宋_GB2312" w:cs="仿宋_GB2312" w:hAnsi="仿宋_GB2312" w:hint="eastAsia"/>
                <w:color w:val="000000"/>
                <w:sz w:val="28"/>
                <w:szCs w:val="28"/>
                <w:lang w:val="en-US" w:eastAsia="zh-CN"/>
              </w:rPr>
              <w:t>4</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rPr>
              <w:t>对燃气用户及相关单位和个人在不具备安全条件的场所使用、储存燃气的处罚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城乡建设部门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《城镇燃气管理条例》第四十九条</w:t>
            </w:r>
          </w:p>
          <w:p>
            <w:pPr>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sz w:val="28"/>
                <w:szCs w:val="28"/>
              </w:rPr>
              <w:t>《江苏省燃气管理条例》第三十七条、第六十三条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2</w:t>
            </w:r>
            <w:r>
              <w:rPr>
                <w:rFonts w:ascii="仿宋_GB2312" w:eastAsia="仿宋_GB2312" w:cs="仿宋_GB2312" w:hAnsi="仿宋_GB2312" w:hint="eastAsia"/>
                <w:color w:val="000000"/>
                <w:sz w:val="28"/>
                <w:szCs w:val="28"/>
                <w:lang w:val="en-US" w:eastAsia="zh-CN"/>
              </w:rPr>
              <w:t>5</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对燃气用户及相关单位和个人擅自安装、改装、拆除户内燃气设施和燃气计量装置的处罚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城乡建设部门</w:t>
            </w:r>
          </w:p>
        </w:tc>
        <w:tc>
          <w:tcPr>
            <w:tcW w:w="5181" w:type="dxa"/>
          </w:tcPr>
          <w:p>
            <w:pPr>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《城镇燃气管理条例》第四十九条</w:t>
            </w:r>
          </w:p>
          <w:p>
            <w:pPr>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《江苏省燃气管理条例》第三十七条、第六十三条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2</w:t>
            </w:r>
            <w:r>
              <w:rPr>
                <w:rFonts w:ascii="仿宋_GB2312" w:eastAsia="仿宋_GB2312" w:cs="仿宋_GB2312" w:hAnsi="仿宋_GB2312" w:hint="eastAsia"/>
                <w:color w:val="000000"/>
                <w:sz w:val="28"/>
                <w:szCs w:val="28"/>
                <w:lang w:val="en-US" w:eastAsia="zh-CN"/>
              </w:rPr>
              <w:t>6</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对燃气用户及相关单位和个人改变燃气用途或者转供燃气的处罚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城乡建设部门</w:t>
            </w:r>
          </w:p>
        </w:tc>
        <w:tc>
          <w:tcPr>
            <w:tcW w:w="5181" w:type="dxa"/>
          </w:tcPr>
          <w:p>
            <w:pPr>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《城镇燃气管理条例》第四十九条</w:t>
            </w:r>
          </w:p>
          <w:p>
            <w:pPr>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《江苏省燃气管理条例》第三十七条、第六十三条</w:t>
            </w:r>
          </w:p>
        </w:tc>
      </w:tr>
      <w:tr>
        <w:trPr>
          <w:trHeight w:val="90"/>
        </w:trP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2</w:t>
            </w:r>
            <w:r>
              <w:rPr>
                <w:rFonts w:ascii="仿宋_GB2312" w:eastAsia="仿宋_GB2312" w:cs="仿宋_GB2312" w:hAnsi="仿宋_GB2312" w:hint="eastAsia"/>
                <w:color w:val="000000"/>
                <w:sz w:val="28"/>
                <w:szCs w:val="28"/>
                <w:lang w:val="en-US" w:eastAsia="zh-CN"/>
              </w:rPr>
              <w:t>7</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对燃气用户及相关单位和个人将燃气管道作为负重支架或者接地引线的处罚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城乡建设部门</w:t>
            </w:r>
          </w:p>
        </w:tc>
        <w:tc>
          <w:tcPr>
            <w:tcW w:w="5181" w:type="dxa"/>
          </w:tcPr>
          <w:p>
            <w:pPr>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《城镇燃气管理条例》第四十九条</w:t>
            </w:r>
          </w:p>
          <w:p>
            <w:pPr>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《江苏省燃气管理条例》第三十七条、第六十三条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2</w:t>
            </w:r>
            <w:r>
              <w:rPr>
                <w:rFonts w:ascii="仿宋_GB2312" w:eastAsia="仿宋_GB2312" w:cs="仿宋_GB2312" w:hAnsi="仿宋_GB2312" w:hint="eastAsia"/>
                <w:color w:val="000000"/>
                <w:sz w:val="28"/>
                <w:szCs w:val="28"/>
                <w:lang w:val="en-US" w:eastAsia="zh-CN"/>
              </w:rPr>
              <w:t>8</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对燃气经营者未向燃气用户持续、稳定、 安全供应符合国家质量标准的燃气，或者未对燃气用户的燃气设施定期进行安全检查的处罚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城乡建设部门</w:t>
            </w:r>
          </w:p>
        </w:tc>
        <w:tc>
          <w:tcPr>
            <w:tcW w:w="5181" w:type="dxa"/>
          </w:tcPr>
          <w:p>
            <w:pPr>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《城镇燃气管理条例》第四十六条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2</w:t>
            </w:r>
            <w:r>
              <w:rPr>
                <w:rFonts w:ascii="仿宋_GB2312" w:eastAsia="仿宋_GB2312" w:cs="仿宋_GB2312" w:hAnsi="仿宋_GB2312" w:hint="eastAsia"/>
                <w:color w:val="000000"/>
                <w:sz w:val="28"/>
                <w:szCs w:val="28"/>
                <w:lang w:val="en-US" w:eastAsia="zh-CN"/>
              </w:rPr>
              <w:t>9</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对在燃气设施保护范围内未与燃气经营者共同制定燃气设施保护方案，采取相应的安全保护措施，从事敷设管道、打桩、顶进、挖掘、钻探等可能影响燃气设施安全活动的处罚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城乡建设部门</w:t>
            </w:r>
          </w:p>
        </w:tc>
        <w:tc>
          <w:tcPr>
            <w:tcW w:w="5181" w:type="dxa"/>
          </w:tcPr>
          <w:p>
            <w:pPr>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《城镇燃气管理条例》第五十条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lang w:val="en-US" w:eastAsia="zh-CN"/>
              </w:rPr>
              <w:t>30</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对在燃气设施保护范围内倾倒、排放腐蚀性物质的处罚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城乡建设部门</w:t>
            </w:r>
          </w:p>
        </w:tc>
        <w:tc>
          <w:tcPr>
            <w:tcW w:w="5181" w:type="dxa"/>
          </w:tcPr>
          <w:p>
            <w:pPr>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《城镇燃气管理条例》第五十条</w:t>
            </w:r>
          </w:p>
          <w:p>
            <w:pPr>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color w:val="000000"/>
                <w:kern w:val="0"/>
                <w:sz w:val="28"/>
                <w:szCs w:val="28"/>
                <w:shd w:val="clear" w:color="auto" w:fill="FFFFFF"/>
              </w:rPr>
              <w:t>《江苏省燃气管理条例》第四十五条、第六十四条</w:t>
            </w:r>
          </w:p>
        </w:tc>
      </w:tr>
      <w:tr>
        <w:trPr>
          <w:trHeight w:val="607"/>
        </w:trPr>
        <w:tc>
          <w:tcPr>
            <w:tcW w:w="14007" w:type="dxa"/>
            <w:gridSpan w:val="4"/>
            <w:vAlign w:val="center"/>
          </w:tcPr>
          <w:p>
            <w:pPr>
              <w:spacing w:line="340" w:lineRule="exact"/>
              <w:rPr>
                <w:rFonts w:ascii="仿宋_GB2312" w:eastAsia="仿宋_GB2312" w:cs="仿宋_GB2312" w:hAnsi="仿宋_GB2312" w:hint="eastAsia"/>
                <w:color w:val="000000"/>
                <w:kern w:val="0"/>
                <w:sz w:val="28"/>
                <w:szCs w:val="28"/>
                <w:shd w:val="clear" w:color="auto" w:fill="FFFFFF"/>
              </w:rPr>
            </w:pPr>
            <w:r>
              <w:rPr>
                <w:rFonts w:ascii="仿宋_GB2312" w:eastAsia="仿宋_GB2312" w:cs="仿宋_GB2312" w:hAnsi="仿宋_GB2312" w:hint="eastAsia"/>
                <w:b/>
                <w:bCs/>
                <w:color w:val="000000"/>
                <w:sz w:val="28"/>
                <w:szCs w:val="28"/>
              </w:rPr>
              <w:t>（三）其他公共安全类</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3</w:t>
            </w:r>
            <w:r>
              <w:rPr>
                <w:rFonts w:ascii="仿宋_GB2312" w:eastAsia="仿宋_GB2312" w:cs="仿宋_GB2312" w:hAnsi="仿宋_GB2312" w:hint="eastAsia"/>
                <w:color w:val="000000"/>
                <w:sz w:val="28"/>
                <w:szCs w:val="28"/>
                <w:lang w:val="en-US" w:eastAsia="zh-CN"/>
              </w:rPr>
              <w:t>1</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kern w:val="0"/>
                <w:sz w:val="28"/>
                <w:szCs w:val="28"/>
                <w:lang w:eastAsia="zh-CN"/>
              </w:rPr>
              <w:t>对</w:t>
            </w:r>
            <w:r>
              <w:rPr>
                <w:rFonts w:ascii="仿宋_GB2312" w:eastAsia="仿宋_GB2312" w:cs="仿宋_GB2312" w:hAnsi="仿宋_GB2312" w:hint="eastAsia"/>
                <w:color w:val="000000"/>
                <w:kern w:val="0"/>
                <w:sz w:val="28"/>
                <w:szCs w:val="28"/>
              </w:rPr>
              <w:t>阻碍国家机关工作人员依法执行职务</w:t>
            </w:r>
            <w:r>
              <w:rPr>
                <w:rFonts w:ascii="仿宋_GB2312" w:eastAsia="仿宋_GB2312" w:cs="仿宋_GB2312" w:hAnsi="仿宋_GB2312" w:hint="eastAsia"/>
                <w:color w:val="000000"/>
                <w:sz w:val="28"/>
                <w:szCs w:val="28"/>
              </w:rPr>
              <w:t>的</w:t>
            </w:r>
            <w:r>
              <w:rPr>
                <w:rFonts w:ascii="仿宋_GB2312" w:eastAsia="仿宋_GB2312" w:cs="仿宋_GB2312" w:hAnsi="仿宋_GB2312" w:hint="eastAsia"/>
                <w:color w:val="000000"/>
                <w:sz w:val="28"/>
                <w:szCs w:val="28"/>
                <w:shd w:val="clear" w:color="auto" w:fill="FFFFFF"/>
              </w:rPr>
              <w:t>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公安部门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《中华人民共和国治安管理处罚法》第</w:t>
            </w:r>
            <w:r>
              <w:rPr>
                <w:rFonts w:ascii="仿宋_GB2312" w:eastAsia="仿宋_GB2312" w:cs="仿宋_GB2312" w:hAnsi="仿宋_GB2312" w:hint="eastAsia"/>
                <w:color w:val="000000"/>
                <w:sz w:val="28"/>
                <w:szCs w:val="28"/>
                <w:lang w:eastAsia="zh-CN"/>
              </w:rPr>
              <w:t>六十一</w:t>
            </w:r>
            <w:r>
              <w:rPr>
                <w:rFonts w:ascii="仿宋_GB2312" w:eastAsia="仿宋_GB2312" w:cs="仿宋_GB2312" w:hAnsi="仿宋_GB2312" w:hint="eastAsia"/>
                <w:color w:val="000000"/>
                <w:sz w:val="28"/>
                <w:szCs w:val="28"/>
              </w:rPr>
              <w:t>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3</w:t>
            </w:r>
            <w:r>
              <w:rPr>
                <w:rFonts w:ascii="仿宋_GB2312" w:eastAsia="仿宋_GB2312" w:cs="仿宋_GB2312" w:hAnsi="仿宋_GB2312" w:hint="eastAsia"/>
                <w:color w:val="000000"/>
                <w:sz w:val="28"/>
                <w:szCs w:val="28"/>
                <w:lang w:val="en-US" w:eastAsia="zh-CN"/>
              </w:rPr>
              <w:t>2</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对违规燃放烟花爆竹行为的处罚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公安部门</w:t>
            </w:r>
          </w:p>
        </w:tc>
        <w:tc>
          <w:tcPr>
            <w:tcW w:w="5181" w:type="dxa"/>
          </w:tcPr>
          <w:p>
            <w:pPr>
              <w:spacing w:line="340" w:lineRule="exac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《烟花爆竹安全管理条例》第四十二条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3</w:t>
            </w:r>
            <w:r>
              <w:rPr>
                <w:rFonts w:ascii="仿宋_GB2312" w:eastAsia="仿宋_GB2312" w:cs="仿宋_GB2312" w:hAnsi="仿宋_GB2312" w:hint="eastAsia"/>
                <w:color w:val="000000"/>
                <w:sz w:val="28"/>
                <w:szCs w:val="28"/>
                <w:lang w:val="en-US" w:eastAsia="zh-CN"/>
              </w:rPr>
              <w:t>3</w:t>
            </w:r>
          </w:p>
        </w:tc>
        <w:tc>
          <w:tcPr>
            <w:tcW w:w="5533" w:type="dxa"/>
            <w:tcBorders>
              <w:top w:val="single" w:sz="4" w:space="0" w:color="auto"/>
              <w:left w:val="single" w:sz="4" w:space="0" w:color="auto"/>
              <w:right w:val="single" w:sz="4" w:space="0" w:color="auto"/>
            </w:tcBorders>
          </w:tcPr>
          <w:p>
            <w:pPr>
              <w:widowControl/>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kern w:val="0"/>
                <w:sz w:val="28"/>
                <w:szCs w:val="28"/>
              </w:rPr>
              <w:t>对拒不执行人民政府在紧急状态情况下依法发布的决定、命令的</w:t>
            </w:r>
            <w:r>
              <w:rPr>
                <w:rFonts w:ascii="仿宋_GB2312" w:eastAsia="仿宋_GB2312" w:cs="仿宋_GB2312" w:hAnsi="仿宋_GB2312" w:hint="eastAsia"/>
                <w:color w:val="000000"/>
                <w:sz w:val="28"/>
                <w:szCs w:val="28"/>
                <w:shd w:val="clear" w:color="auto" w:fill="FFFFFF"/>
              </w:rPr>
              <w:t>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公安部门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kern w:val="0"/>
                <w:sz w:val="28"/>
                <w:szCs w:val="28"/>
              </w:rPr>
              <w:t>《中华人民共和国治安管理处罚法》第</w:t>
            </w:r>
            <w:r>
              <w:rPr>
                <w:rFonts w:ascii="仿宋_GB2312" w:eastAsia="仿宋_GB2312" w:cs="仿宋_GB2312" w:hAnsi="仿宋_GB2312" w:hint="eastAsia"/>
                <w:color w:val="000000"/>
                <w:kern w:val="0"/>
                <w:sz w:val="28"/>
                <w:szCs w:val="28"/>
                <w:lang w:eastAsia="zh-CN"/>
              </w:rPr>
              <w:t>六十一</w:t>
            </w:r>
            <w:r>
              <w:rPr>
                <w:rFonts w:ascii="仿宋_GB2312" w:eastAsia="仿宋_GB2312" w:cs="仿宋_GB2312" w:hAnsi="仿宋_GB2312" w:hint="eastAsia"/>
                <w:color w:val="000000"/>
                <w:kern w:val="0"/>
                <w:sz w:val="28"/>
                <w:szCs w:val="28"/>
              </w:rPr>
              <w:t>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34</w:t>
            </w:r>
          </w:p>
        </w:tc>
        <w:tc>
          <w:tcPr>
            <w:tcW w:w="5533" w:type="dxa"/>
            <w:tcBorders>
              <w:top w:val="single" w:sz="4" w:space="0" w:color="auto"/>
              <w:left w:val="single" w:sz="4" w:space="0" w:color="auto"/>
              <w:right w:val="single" w:sz="4" w:space="0" w:color="auto"/>
            </w:tcBorders>
          </w:tcPr>
          <w:p>
            <w:pPr>
              <w:widowControl/>
              <w:spacing w:line="340" w:lineRule="exact"/>
              <w:textAlignment w:val="center"/>
              <w:rPr>
                <w:rFonts w:ascii="仿宋_GB2312" w:eastAsia="仿宋_GB2312" w:cs="仿宋_GB2312" w:hAnsi="仿宋_GB2312" w:hint="eastAsia"/>
                <w:color w:val="000000"/>
                <w:kern w:val="0"/>
                <w:sz w:val="28"/>
                <w:szCs w:val="28"/>
                <w:lang w:val="en-US" w:eastAsia="zh-CN"/>
              </w:rPr>
            </w:pPr>
            <w:r>
              <w:rPr>
                <w:rFonts w:ascii="仿宋_GB2312" w:eastAsia="仿宋_GB2312" w:cs="仿宋_GB2312" w:hAnsi="仿宋_GB2312" w:hint="eastAsia"/>
                <w:color w:val="000000"/>
                <w:kern w:val="0"/>
                <w:sz w:val="28"/>
                <w:szCs w:val="28"/>
              </w:rPr>
              <w:t>对虚构事实扰乱公共秩序（谎报火警）的处罚</w:t>
            </w:r>
          </w:p>
        </w:tc>
        <w:tc>
          <w:tcPr>
            <w:tcW w:w="2482" w:type="dxa"/>
            <w:tcBorders>
              <w:top w:val="single" w:sz="4" w:space="0" w:color="auto"/>
              <w:left w:val="single" w:sz="4" w:space="0" w:color="auto"/>
              <w:right w:val="single" w:sz="4" w:space="0" w:color="auto"/>
            </w:tcBorders>
          </w:tcPr>
          <w:p>
            <w:pPr>
              <w:widowControl/>
              <w:spacing w:line="340" w:lineRule="exact"/>
              <w:jc w:val="center"/>
              <w:textAlignment w:val="center"/>
              <w:rPr>
                <w:rFonts w:ascii="仿宋_GB2312" w:eastAsia="仿宋_GB2312" w:cs="仿宋_GB2312" w:hAnsi="仿宋_GB2312" w:hint="eastAsia"/>
                <w:color w:val="000000"/>
                <w:kern w:val="0"/>
                <w:sz w:val="28"/>
                <w:szCs w:val="28"/>
                <w:lang w:val="en-US" w:eastAsia="zh-CN"/>
              </w:rPr>
            </w:pPr>
            <w:r>
              <w:rPr>
                <w:rFonts w:ascii="仿宋_GB2312" w:eastAsia="仿宋_GB2312" w:cs="仿宋_GB2312" w:hAnsi="仿宋_GB2312" w:hint="eastAsia"/>
                <w:color w:val="000000"/>
                <w:sz w:val="28"/>
                <w:szCs w:val="28"/>
              </w:rPr>
              <w:t>公安部门</w:t>
            </w:r>
          </w:p>
        </w:tc>
        <w:tc>
          <w:tcPr>
            <w:tcW w:w="5181" w:type="dxa"/>
          </w:tcPr>
          <w:p>
            <w:pPr>
              <w:widowControl/>
              <w:spacing w:line="340" w:lineRule="exact"/>
              <w:textAlignment w:val="center"/>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《中华人民共和国消防法》第六十二条</w:t>
            </w:r>
          </w:p>
          <w:p>
            <w:pPr>
              <w:widowControl/>
              <w:spacing w:line="340" w:lineRule="exact"/>
              <w:textAlignment w:val="center"/>
              <w:rPr>
                <w:rFonts w:ascii="仿宋_GB2312" w:eastAsia="仿宋_GB2312" w:cs="仿宋_GB2312" w:hAnsi="仿宋_GB2312" w:hint="eastAsia"/>
                <w:color w:val="000000"/>
                <w:kern w:val="0"/>
                <w:sz w:val="28"/>
                <w:szCs w:val="28"/>
                <w:lang w:val="en-US" w:eastAsia="zh-CN"/>
              </w:rPr>
            </w:pPr>
            <w:r>
              <w:rPr>
                <w:rFonts w:ascii="仿宋_GB2312" w:eastAsia="仿宋_GB2312" w:cs="仿宋_GB2312" w:hAnsi="仿宋_GB2312" w:hint="eastAsia"/>
                <w:color w:val="000000"/>
                <w:kern w:val="0"/>
                <w:sz w:val="28"/>
                <w:szCs w:val="28"/>
              </w:rPr>
              <w:t>《中华人民共和国治安管理处罚法》第二十</w:t>
            </w:r>
            <w:r>
              <w:rPr>
                <w:rFonts w:ascii="仿宋_GB2312" w:eastAsia="仿宋_GB2312" w:cs="仿宋_GB2312" w:hAnsi="仿宋_GB2312" w:hint="eastAsia"/>
                <w:color w:val="000000"/>
                <w:kern w:val="0"/>
                <w:sz w:val="28"/>
                <w:szCs w:val="28"/>
                <w:lang w:eastAsia="zh-CN"/>
              </w:rPr>
              <w:t>九</w:t>
            </w:r>
            <w:r>
              <w:rPr>
                <w:rFonts w:ascii="仿宋_GB2312" w:eastAsia="仿宋_GB2312" w:cs="仿宋_GB2312" w:hAnsi="仿宋_GB2312" w:hint="eastAsia"/>
                <w:color w:val="000000"/>
                <w:kern w:val="0"/>
                <w:sz w:val="28"/>
                <w:szCs w:val="28"/>
              </w:rPr>
              <w:t>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highlight w:val="green"/>
              </w:rPr>
            </w:pPr>
            <w:r>
              <w:rPr>
                <w:rFonts w:ascii="仿宋_GB2312" w:eastAsia="仿宋_GB2312" w:cs="仿宋_GB2312" w:hAnsi="仿宋_GB2312" w:hint="eastAsia"/>
                <w:color w:val="000000"/>
                <w:sz w:val="28"/>
                <w:szCs w:val="28"/>
                <w:highlight w:val="auto"/>
              </w:rPr>
              <w:t>3</w:t>
            </w:r>
            <w:r>
              <w:rPr>
                <w:rFonts w:ascii="仿宋_GB2312" w:eastAsia="仿宋_GB2312" w:cs="仿宋_GB2312" w:hAnsi="仿宋_GB2312" w:hint="eastAsia"/>
                <w:color w:val="000000"/>
                <w:sz w:val="28"/>
                <w:szCs w:val="28"/>
                <w:lang w:val="en-US" w:eastAsia="zh-CN"/>
                <w:highlight w:val="auto"/>
              </w:rPr>
              <w:t>5</w:t>
            </w:r>
          </w:p>
        </w:tc>
        <w:tc>
          <w:tcPr>
            <w:tcW w:w="5533" w:type="dxa"/>
            <w:tcBorders>
              <w:top w:val="single" w:sz="4" w:space="0" w:color="auto"/>
              <w:left w:val="single" w:sz="4" w:space="0" w:color="auto"/>
              <w:right w:val="single" w:sz="4" w:space="0" w:color="auto"/>
            </w:tcBorders>
          </w:tcPr>
          <w:p>
            <w:pPr>
              <w:widowControl/>
              <w:spacing w:line="340" w:lineRule="exact"/>
              <w:textAlignment w:val="center"/>
              <w:rPr>
                <w:rFonts w:ascii="仿宋_GB2312" w:eastAsia="仿宋_GB2312" w:cs="仿宋_GB2312" w:hAnsi="仿宋_GB2312" w:hint="eastAsia"/>
                <w:color w:val="000000"/>
                <w:kern w:val="0"/>
                <w:sz w:val="28"/>
                <w:szCs w:val="28"/>
                <w:highlight w:val="green"/>
              </w:rPr>
            </w:pPr>
            <w:r>
              <w:rPr>
                <w:rFonts w:ascii="仿宋_GB2312" w:eastAsia="仿宋_GB2312" w:cs="仿宋_GB2312" w:hAnsi="仿宋_GB2312" w:hint="eastAsia"/>
                <w:color w:val="000000"/>
                <w:kern w:val="0"/>
                <w:sz w:val="28"/>
                <w:szCs w:val="28"/>
                <w:highlight w:val="auto"/>
              </w:rPr>
              <w:t>对危害供电、用电安全或者扰乱供电、用电秩序的处罚</w:t>
            </w:r>
          </w:p>
        </w:tc>
        <w:tc>
          <w:tcPr>
            <w:tcW w:w="2482" w:type="dxa"/>
            <w:tcBorders>
              <w:top w:val="single" w:sz="4" w:space="0" w:color="auto"/>
              <w:left w:val="single" w:sz="4" w:space="0" w:color="auto"/>
              <w:right w:val="single" w:sz="4" w:space="0" w:color="auto"/>
            </w:tcBorders>
          </w:tcPr>
          <w:p>
            <w:pPr>
              <w:widowControl/>
              <w:spacing w:line="340" w:lineRule="exact"/>
              <w:jc w:val="center"/>
              <w:textAlignment w:val="center"/>
              <w:rPr>
                <w:rFonts w:ascii="仿宋_GB2312" w:eastAsia="仿宋_GB2312" w:cs="仿宋_GB2312" w:hAnsi="仿宋_GB2312" w:hint="eastAsia"/>
                <w:color w:val="000000"/>
                <w:kern w:val="0"/>
                <w:sz w:val="28"/>
                <w:szCs w:val="28"/>
                <w:highlight w:val="green"/>
              </w:rPr>
            </w:pPr>
            <w:r>
              <w:rPr>
                <w:rFonts w:ascii="仿宋_GB2312" w:eastAsia="仿宋_GB2312" w:cs="仿宋_GB2312" w:hAnsi="仿宋_GB2312" w:hint="eastAsia"/>
                <w:color w:val="000000"/>
                <w:kern w:val="0"/>
                <w:sz w:val="28"/>
                <w:szCs w:val="28"/>
                <w:highlight w:val="auto"/>
              </w:rPr>
              <w:t>电力管理部门</w:t>
            </w:r>
          </w:p>
        </w:tc>
        <w:tc>
          <w:tcPr>
            <w:tcW w:w="5181" w:type="dxa"/>
          </w:tcPr>
          <w:p>
            <w:pPr>
              <w:widowControl/>
              <w:spacing w:line="340" w:lineRule="exact"/>
              <w:textAlignment w:val="center"/>
              <w:rPr>
                <w:rFonts w:ascii="仿宋_GB2312" w:eastAsia="仿宋_GB2312" w:cs="仿宋_GB2312" w:hAnsi="仿宋_GB2312" w:hint="eastAsia"/>
                <w:color w:val="000000"/>
                <w:kern w:val="0"/>
                <w:sz w:val="28"/>
                <w:szCs w:val="28"/>
                <w:highlight w:val="green"/>
              </w:rPr>
            </w:pPr>
            <w:r>
              <w:rPr>
                <w:rFonts w:ascii="仿宋_GB2312" w:eastAsia="仿宋_GB2312" w:cs="仿宋_GB2312" w:hAnsi="仿宋_GB2312" w:hint="eastAsia"/>
                <w:color w:val="000000"/>
                <w:kern w:val="0"/>
                <w:sz w:val="28"/>
                <w:szCs w:val="28"/>
                <w:highlight w:val="auto"/>
              </w:rPr>
              <w:t>《中华人民共和国电力法》第六十五条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3</w:t>
            </w:r>
            <w:r>
              <w:rPr>
                <w:rFonts w:ascii="仿宋_GB2312" w:eastAsia="仿宋_GB2312" w:cs="仿宋_GB2312" w:hAnsi="仿宋_GB2312" w:hint="eastAsia"/>
                <w:color w:val="000000"/>
                <w:sz w:val="28"/>
                <w:szCs w:val="28"/>
                <w:lang w:val="en-US" w:eastAsia="zh-CN"/>
              </w:rPr>
              <w:t>6</w:t>
            </w:r>
          </w:p>
        </w:tc>
        <w:tc>
          <w:tcPr>
            <w:tcW w:w="5533" w:type="dxa"/>
            <w:tcBorders>
              <w:top w:val="single" w:sz="4" w:space="0" w:color="auto"/>
              <w:left w:val="single" w:sz="4" w:space="0" w:color="auto"/>
              <w:right w:val="single" w:sz="4" w:space="0" w:color="auto"/>
            </w:tcBorders>
          </w:tcPr>
          <w:p>
            <w:pPr>
              <w:widowControl/>
              <w:spacing w:line="340" w:lineRule="exact"/>
              <w:textAlignment w:val="center"/>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对安装充电设备设施破坏人防工程战时防护效能的处罚</w:t>
            </w:r>
          </w:p>
        </w:tc>
        <w:tc>
          <w:tcPr>
            <w:tcW w:w="2482" w:type="dxa"/>
            <w:tcBorders>
              <w:top w:val="single" w:sz="4" w:space="0" w:color="auto"/>
              <w:left w:val="single" w:sz="4" w:space="0" w:color="auto"/>
              <w:right w:val="single" w:sz="4" w:space="0" w:color="auto"/>
            </w:tcBorders>
          </w:tcPr>
          <w:p>
            <w:pPr>
              <w:widowControl/>
              <w:spacing w:line="340" w:lineRule="exact"/>
              <w:jc w:val="center"/>
              <w:textAlignment w:val="center"/>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人防部门</w:t>
            </w:r>
          </w:p>
        </w:tc>
        <w:tc>
          <w:tcPr>
            <w:tcW w:w="5181" w:type="dxa"/>
          </w:tcPr>
          <w:p>
            <w:pPr>
              <w:widowControl/>
              <w:spacing w:line="340" w:lineRule="exact"/>
              <w:textAlignment w:val="center"/>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《江苏省人民防空工程维护管理规定》第二十条、第三十条</w:t>
            </w:r>
          </w:p>
        </w:tc>
      </w:tr>
      <w:tr>
        <w:trPr>
          <w:trHeight w:val="530"/>
        </w:trPr>
        <w:tc>
          <w:tcPr>
            <w:tcW w:w="14007" w:type="dxa"/>
            <w:gridSpan w:val="4"/>
            <w:vAlign w:val="center"/>
          </w:tcPr>
          <w:p>
            <w:pPr>
              <w:spacing w:line="340" w:lineRule="exac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b/>
                <w:bCs/>
                <w:color w:val="000000"/>
                <w:sz w:val="28"/>
                <w:szCs w:val="28"/>
              </w:rPr>
              <w:t>（四）饲养动物类</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3</w:t>
            </w:r>
            <w:r>
              <w:rPr>
                <w:rFonts w:ascii="仿宋_GB2312" w:eastAsia="仿宋_GB2312" w:cs="仿宋_GB2312" w:hAnsi="仿宋_GB2312" w:hint="eastAsia"/>
                <w:color w:val="000000"/>
                <w:sz w:val="28"/>
                <w:szCs w:val="28"/>
                <w:lang w:val="en-US" w:eastAsia="zh-CN"/>
              </w:rPr>
              <w:t>7</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kern w:val="0"/>
                <w:sz w:val="28"/>
                <w:szCs w:val="28"/>
              </w:rPr>
              <w:t>对饲养动物干扰正常生活或放任动物恐吓他人行为的处罚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公安部门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kern w:val="0"/>
                <w:sz w:val="28"/>
                <w:szCs w:val="28"/>
              </w:rPr>
              <w:t>《中华人民共和国治安管理处罚法》第</w:t>
            </w:r>
            <w:r>
              <w:rPr>
                <w:rFonts w:ascii="仿宋_GB2312" w:eastAsia="仿宋_GB2312" w:cs="仿宋_GB2312" w:hAnsi="仿宋_GB2312" w:hint="eastAsia"/>
                <w:color w:val="000000"/>
                <w:kern w:val="0"/>
                <w:sz w:val="28"/>
                <w:szCs w:val="28"/>
                <w:lang w:eastAsia="zh-CN"/>
              </w:rPr>
              <w:t>八十九</w:t>
            </w:r>
            <w:r>
              <w:rPr>
                <w:rFonts w:ascii="仿宋_GB2312" w:eastAsia="仿宋_GB2312" w:cs="仿宋_GB2312" w:hAnsi="仿宋_GB2312" w:hint="eastAsia"/>
                <w:color w:val="000000"/>
                <w:kern w:val="0"/>
                <w:sz w:val="28"/>
                <w:szCs w:val="28"/>
              </w:rPr>
              <w:t>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3</w:t>
            </w:r>
            <w:r>
              <w:rPr>
                <w:rFonts w:ascii="仿宋_GB2312" w:eastAsia="仿宋_GB2312" w:cs="仿宋_GB2312" w:hAnsi="仿宋_GB2312" w:hint="eastAsia"/>
                <w:color w:val="000000"/>
                <w:sz w:val="28"/>
                <w:szCs w:val="28"/>
                <w:lang w:val="en-US" w:eastAsia="zh-CN"/>
              </w:rPr>
              <w:t>8</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对在重点管理区未经登记养犬逾期不办理登记手续的处罚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公安部门</w:t>
            </w:r>
          </w:p>
        </w:tc>
        <w:tc>
          <w:tcPr>
            <w:tcW w:w="5181" w:type="dxa"/>
          </w:tcPr>
          <w:p>
            <w:pPr>
              <w:spacing w:line="340" w:lineRule="exac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《南京市养犬管理条例》第四十二条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39</w:t>
            </w:r>
          </w:p>
        </w:tc>
        <w:tc>
          <w:tcPr>
            <w:tcW w:w="5533" w:type="dxa"/>
            <w:tcBorders>
              <w:top w:val="single" w:sz="4" w:space="0" w:color="auto"/>
              <w:left w:val="single" w:sz="4" w:space="0" w:color="auto"/>
              <w:right w:val="single" w:sz="4" w:space="0" w:color="auto"/>
            </w:tcBorders>
          </w:tcPr>
          <w:p>
            <w:pPr>
              <w:widowControl/>
              <w:spacing w:line="340" w:lineRule="exact"/>
              <w:textAlignment w:val="center"/>
              <w:rPr>
                <w:rFonts w:ascii="仿宋_GB2312" w:eastAsia="仿宋_GB2312" w:cs="仿宋_GB2312" w:hAnsi="仿宋_GB2312" w:hint="eastAsia"/>
                <w:color w:val="000000"/>
                <w:kern w:val="0"/>
                <w:sz w:val="28"/>
                <w:szCs w:val="28"/>
                <w:lang w:val="en-US" w:eastAsia="zh-CN"/>
              </w:rPr>
            </w:pPr>
            <w:r>
              <w:rPr>
                <w:rFonts w:ascii="仿宋_GB2312" w:eastAsia="仿宋_GB2312" w:cs="仿宋_GB2312" w:hAnsi="仿宋_GB2312" w:hint="eastAsia"/>
                <w:color w:val="000000"/>
                <w:kern w:val="0"/>
                <w:sz w:val="28"/>
                <w:szCs w:val="28"/>
                <w:lang w:eastAsia="zh-CN"/>
              </w:rPr>
              <w:t>对逾期不办理养犬登记证延续的处罚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2"/>
                <w:sz w:val="28"/>
                <w:szCs w:val="28"/>
                <w:lang w:val="en-US" w:eastAsia="zh-CN" w:bidi="ar-SA"/>
              </w:rPr>
            </w:pPr>
            <w:r>
              <w:rPr>
                <w:rFonts w:ascii="仿宋_GB2312" w:eastAsia="仿宋_GB2312" w:cs="仿宋_GB2312" w:hAnsi="仿宋_GB2312" w:hint="eastAsia"/>
                <w:color w:val="000000"/>
                <w:sz w:val="28"/>
                <w:szCs w:val="28"/>
                <w:lang w:eastAsia="zh-CN"/>
              </w:rPr>
              <w:t>公安部门</w:t>
            </w:r>
          </w:p>
        </w:tc>
        <w:tc>
          <w:tcPr>
            <w:tcW w:w="5181" w:type="dxa"/>
          </w:tcPr>
          <w:p>
            <w:pPr>
              <w:spacing w:line="340" w:lineRule="exact"/>
              <w:rPr>
                <w:rFonts w:ascii="仿宋_GB2312" w:eastAsia="仿宋_GB2312" w:cs="仿宋_GB2312" w:hAnsi="仿宋_GB2312" w:hint="eastAsia"/>
                <w:color w:val="000000"/>
                <w:kern w:val="0"/>
                <w:sz w:val="28"/>
                <w:szCs w:val="28"/>
                <w:lang w:val="en-US" w:eastAsia="zh-CN"/>
              </w:rPr>
            </w:pPr>
            <w:r>
              <w:rPr>
                <w:rFonts w:ascii="仿宋_GB2312" w:eastAsia="仿宋_GB2312" w:cs="仿宋_GB2312" w:hAnsi="仿宋_GB2312" w:hint="eastAsia"/>
                <w:color w:val="000000"/>
                <w:kern w:val="0"/>
                <w:sz w:val="28"/>
                <w:szCs w:val="28"/>
              </w:rPr>
              <w:t>《南京市养犬管理条例》</w:t>
            </w:r>
            <w:r>
              <w:rPr>
                <w:rFonts w:ascii="仿宋_GB2312" w:eastAsia="仿宋_GB2312" w:cs="仿宋_GB2312" w:hAnsi="仿宋_GB2312" w:hint="eastAsia"/>
                <w:color w:val="000000"/>
                <w:kern w:val="0"/>
                <w:sz w:val="28"/>
                <w:szCs w:val="28"/>
                <w:lang w:eastAsia="zh-CN"/>
              </w:rPr>
              <w:t>第十六条、</w:t>
            </w:r>
            <w:r>
              <w:rPr>
                <w:rFonts w:ascii="仿宋_GB2312" w:eastAsia="仿宋_GB2312" w:cs="仿宋_GB2312" w:hAnsi="仿宋_GB2312" w:hint="eastAsia"/>
                <w:color w:val="000000"/>
                <w:kern w:val="0"/>
                <w:sz w:val="28"/>
                <w:szCs w:val="28"/>
              </w:rPr>
              <w:t>第四十三条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lang w:val="en-US" w:eastAsia="zh-CN"/>
              </w:rPr>
              <w:t>40</w:t>
            </w:r>
          </w:p>
        </w:tc>
        <w:tc>
          <w:tcPr>
            <w:tcW w:w="5533" w:type="dxa"/>
            <w:tcBorders>
              <w:top w:val="single" w:sz="4" w:space="0" w:color="auto"/>
              <w:left w:val="single" w:sz="4" w:space="0" w:color="auto"/>
              <w:right w:val="single" w:sz="4" w:space="0" w:color="auto"/>
            </w:tcBorders>
          </w:tcPr>
          <w:p>
            <w:pPr>
              <w:widowControl/>
              <w:spacing w:line="340" w:lineRule="exact"/>
              <w:textAlignment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kern w:val="0"/>
                <w:sz w:val="28"/>
                <w:szCs w:val="28"/>
              </w:rPr>
              <w:t>对逾期不办理养犬登记证变更、注销和补办手续的处罚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公安部门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kern w:val="0"/>
                <w:sz w:val="28"/>
                <w:szCs w:val="28"/>
              </w:rPr>
              <w:t>《南京市养犬管理条例》</w:t>
            </w:r>
            <w:r>
              <w:rPr>
                <w:rFonts w:ascii="仿宋_GB2312" w:eastAsia="仿宋_GB2312" w:cs="仿宋_GB2312" w:hAnsi="仿宋_GB2312" w:hint="eastAsia"/>
                <w:color w:val="000000"/>
                <w:kern w:val="0"/>
                <w:sz w:val="28"/>
                <w:szCs w:val="28"/>
                <w:lang w:eastAsia="zh-CN"/>
              </w:rPr>
              <w:t>第十七条、</w:t>
            </w:r>
            <w:r>
              <w:rPr>
                <w:rFonts w:ascii="仿宋_GB2312" w:eastAsia="仿宋_GB2312" w:cs="仿宋_GB2312" w:hAnsi="仿宋_GB2312" w:hint="eastAsia"/>
                <w:color w:val="000000"/>
                <w:kern w:val="0"/>
                <w:sz w:val="28"/>
                <w:szCs w:val="28"/>
              </w:rPr>
              <w:t>第四十三条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41</w:t>
            </w:r>
          </w:p>
        </w:tc>
        <w:tc>
          <w:tcPr>
            <w:tcW w:w="5533" w:type="dxa"/>
            <w:tcBorders>
              <w:top w:val="single" w:sz="4" w:space="0" w:color="auto"/>
              <w:left w:val="single" w:sz="4" w:space="0" w:color="auto"/>
              <w:right w:val="single" w:sz="4" w:space="0" w:color="auto"/>
            </w:tcBorders>
          </w:tcPr>
          <w:p>
            <w:pPr>
              <w:widowControl/>
              <w:spacing w:line="340" w:lineRule="exact"/>
              <w:textAlignment w:val="center"/>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sz w:val="28"/>
                <w:szCs w:val="28"/>
              </w:rPr>
              <w:t>对虐待、遗弃所养犬只的处罚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公安部门</w:t>
            </w:r>
          </w:p>
        </w:tc>
        <w:tc>
          <w:tcPr>
            <w:tcW w:w="5181" w:type="dxa"/>
          </w:tcPr>
          <w:p>
            <w:pPr>
              <w:spacing w:line="340" w:lineRule="exac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《南京市养犬管理条例》第四十五条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4</w:t>
            </w:r>
            <w:r>
              <w:rPr>
                <w:rFonts w:ascii="仿宋_GB2312" w:eastAsia="仿宋_GB2312" w:cs="仿宋_GB2312" w:hAnsi="仿宋_GB2312" w:hint="eastAsia"/>
                <w:color w:val="000000"/>
                <w:sz w:val="28"/>
                <w:szCs w:val="28"/>
                <w:lang w:val="en-US" w:eastAsia="zh-CN"/>
              </w:rPr>
              <w:t>2</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对在重点管理区个人饲养烈性犬、大型犬的处罚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公安部门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kern w:val="0"/>
                <w:sz w:val="28"/>
                <w:szCs w:val="28"/>
              </w:rPr>
              <w:t>《南京市养犬管理条例》第四十六条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4</w:t>
            </w:r>
            <w:r>
              <w:rPr>
                <w:rFonts w:ascii="仿宋_GB2312" w:eastAsia="仿宋_GB2312" w:cs="仿宋_GB2312" w:hAnsi="仿宋_GB2312" w:hint="eastAsia"/>
                <w:color w:val="000000"/>
                <w:sz w:val="28"/>
                <w:szCs w:val="28"/>
                <w:lang w:val="en-US" w:eastAsia="zh-CN"/>
              </w:rPr>
              <w:t>3</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对在重点管理区携犬出户未挂犬牌或者未束犬链的处罚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公安部门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kern w:val="0"/>
                <w:sz w:val="28"/>
                <w:szCs w:val="28"/>
              </w:rPr>
              <w:t>《南京市养犬管理条例》第四十七条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4</w:t>
            </w:r>
            <w:r>
              <w:rPr>
                <w:rFonts w:ascii="仿宋_GB2312" w:eastAsia="仿宋_GB2312" w:cs="仿宋_GB2312" w:hAnsi="仿宋_GB2312" w:hint="eastAsia"/>
                <w:color w:val="000000"/>
                <w:sz w:val="28"/>
                <w:szCs w:val="28"/>
                <w:lang w:val="en-US" w:eastAsia="zh-CN"/>
              </w:rPr>
              <w:t>4</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对饲养宠物、信鸽或者投喂犬、猫等动物，未保持环境整洁的处罚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城管部门</w:t>
            </w:r>
          </w:p>
        </w:tc>
        <w:tc>
          <w:tcPr>
            <w:tcW w:w="5181" w:type="dxa"/>
          </w:tcPr>
          <w:p>
            <w:pPr>
              <w:spacing w:line="340" w:lineRule="exac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《城市市容和环境卫生管理条例》第三十五条</w:t>
            </w:r>
          </w:p>
          <w:p>
            <w:pPr>
              <w:spacing w:line="340" w:lineRule="exac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《江苏省城市市容和环境卫生管理条例》第六十四条</w:t>
            </w:r>
          </w:p>
        </w:tc>
      </w:tr>
      <w:tr>
        <w:trPr>
          <w:trHeight w:val="538"/>
        </w:trPr>
        <w:tc>
          <w:tcPr>
            <w:tcW w:w="14007" w:type="dxa"/>
            <w:gridSpan w:val="4"/>
            <w:vAlign w:val="center"/>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b/>
                <w:bCs/>
                <w:color w:val="000000"/>
                <w:sz w:val="28"/>
                <w:szCs w:val="28"/>
              </w:rPr>
              <w:t>（五）房屋装修、安全、租赁类</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4</w:t>
            </w:r>
            <w:r>
              <w:rPr>
                <w:rFonts w:ascii="仿宋_GB2312" w:eastAsia="仿宋_GB2312" w:cs="仿宋_GB2312" w:hAnsi="仿宋_GB2312" w:hint="eastAsia"/>
                <w:color w:val="000000"/>
                <w:sz w:val="28"/>
                <w:szCs w:val="28"/>
                <w:lang w:val="en-US" w:eastAsia="zh-CN"/>
              </w:rPr>
              <w:t>5</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对装修人未申报登记进行住宅室内装饰装修活动的处罚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城乡建设部门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《住宅室内装饰装修管理办法》第三十五条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46</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kern w:val="2"/>
                <w:sz w:val="28"/>
                <w:szCs w:val="28"/>
                <w:lang w:val="en-US" w:eastAsia="zh-CN" w:bidi="ar-SA"/>
              </w:rPr>
            </w:pPr>
            <w:r>
              <w:rPr>
                <w:rFonts w:ascii="仿宋_GB2312" w:eastAsia="仿宋_GB2312" w:cs="仿宋_GB2312" w:hAnsi="仿宋_GB2312" w:hint="eastAsia"/>
                <w:color w:val="000000"/>
                <w:sz w:val="28"/>
                <w:szCs w:val="28"/>
              </w:rPr>
              <w:t>对装修人将住宅室内装饰装修工程委托给不具有相应资质等级企业的处罚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2"/>
                <w:sz w:val="28"/>
                <w:szCs w:val="28"/>
                <w:lang w:val="en-US" w:eastAsia="zh-CN" w:bidi="ar-SA"/>
              </w:rPr>
            </w:pPr>
            <w:r>
              <w:rPr>
                <w:rFonts w:ascii="仿宋_GB2312" w:eastAsia="仿宋_GB2312" w:cs="仿宋_GB2312" w:hAnsi="仿宋_GB2312" w:hint="eastAsia"/>
                <w:color w:val="000000"/>
                <w:sz w:val="28"/>
                <w:szCs w:val="28"/>
              </w:rPr>
              <w:t>城乡建设部门</w:t>
            </w:r>
          </w:p>
        </w:tc>
        <w:tc>
          <w:tcPr>
            <w:tcW w:w="5181" w:type="dxa"/>
          </w:tcPr>
          <w:p>
            <w:pPr>
              <w:spacing w:line="340" w:lineRule="exact"/>
              <w:rPr>
                <w:rFonts w:ascii="仿宋_GB2312" w:eastAsia="仿宋_GB2312" w:cs="仿宋_GB2312" w:hAnsi="仿宋_GB2312" w:hint="eastAsia"/>
                <w:color w:val="000000"/>
                <w:kern w:val="2"/>
                <w:sz w:val="28"/>
                <w:szCs w:val="28"/>
                <w:lang w:val="en-US" w:eastAsia="zh-CN" w:bidi="ar-SA"/>
              </w:rPr>
            </w:pPr>
            <w:r>
              <w:rPr>
                <w:rFonts w:ascii="仿宋_GB2312" w:eastAsia="仿宋_GB2312" w:cs="仿宋_GB2312" w:hAnsi="仿宋_GB2312" w:hint="eastAsia"/>
                <w:color w:val="000000"/>
                <w:sz w:val="28"/>
                <w:szCs w:val="28"/>
              </w:rPr>
              <w:t>《住宅室内装饰装修管理办法》第三十六条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4</w:t>
            </w:r>
            <w:r>
              <w:rPr>
                <w:rFonts w:ascii="仿宋_GB2312" w:eastAsia="仿宋_GB2312" w:cs="仿宋_GB2312" w:hAnsi="仿宋_GB2312" w:hint="eastAsia"/>
                <w:color w:val="000000"/>
                <w:sz w:val="28"/>
                <w:szCs w:val="28"/>
                <w:lang w:val="en-US" w:eastAsia="zh-CN"/>
              </w:rPr>
              <w:t>7</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对装修人擅自拆改供暖、燃气管道和设施的处罚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城乡建设部门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《住宅室内装饰装修管理办法》第三十八条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4</w:t>
            </w:r>
            <w:r>
              <w:rPr>
                <w:rFonts w:ascii="仿宋_GB2312" w:eastAsia="仿宋_GB2312" w:cs="仿宋_GB2312" w:hAnsi="仿宋_GB2312" w:hint="eastAsia"/>
                <w:color w:val="000000"/>
                <w:sz w:val="28"/>
                <w:szCs w:val="28"/>
                <w:lang w:val="en-US" w:eastAsia="zh-CN"/>
              </w:rPr>
              <w:t>8</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对装饰装修企业损坏房屋原有节能设施或者降低节能效果的处罚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城乡建设部门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《住宅室内装饰装修管理办法》第三十八条</w:t>
            </w:r>
          </w:p>
        </w:tc>
      </w:tr>
      <w:tr>
        <w:trPr>
          <w:trHeight w:val="985"/>
        </w:trP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49</w:t>
            </w:r>
          </w:p>
        </w:tc>
        <w:tc>
          <w:tcPr>
            <w:tcW w:w="5533" w:type="dxa"/>
            <w:tcBorders>
              <w:top w:val="single" w:sz="4" w:space="0" w:color="auto"/>
              <w:left w:val="single" w:sz="4" w:space="0" w:color="auto"/>
              <w:right w:val="single" w:sz="4" w:space="0" w:color="auto"/>
            </w:tcBorders>
          </w:tcPr>
          <w:p>
            <w:pPr>
              <w:widowControl/>
              <w:spacing w:line="340" w:lineRule="exact"/>
              <w:jc w:val="lef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kern w:val="2"/>
                <w:sz w:val="28"/>
                <w:szCs w:val="28"/>
                <w:lang w:val="en-US" w:eastAsia="zh-CN"/>
              </w:rPr>
              <w:t>对未经原设计单位或者具有相应资质等级的设计单位提出设计方案，擅自超过设计标准或者规范增加楼面荷载的处罚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城乡建设部门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《住宅室内装饰装修管理办法》</w:t>
            </w:r>
            <w:r>
              <w:rPr>
                <w:rFonts w:ascii="仿宋_GB2312" w:eastAsia="仿宋_GB2312" w:cs="仿宋_GB2312" w:hAnsi="仿宋_GB2312" w:hint="eastAsia"/>
                <w:i w:val="0"/>
                <w:iCs w:val="0"/>
                <w:caps w:val="0"/>
                <w:smallCaps w:val="0"/>
                <w:color w:val="000000"/>
                <w:spacing w:val="0"/>
                <w:sz w:val="28"/>
                <w:szCs w:val="28"/>
                <w:shd w:val="clear" w:color="auto" w:fill="auto"/>
              </w:rPr>
              <w:t>第三十八条</w:t>
            </w:r>
          </w:p>
        </w:tc>
      </w:tr>
      <w:tr>
        <w:trPr>
          <w:trHeight w:val="985"/>
        </w:trP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50</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kern w:val="2"/>
                <w:sz w:val="28"/>
                <w:szCs w:val="28"/>
                <w:lang w:val="en-US" w:eastAsia="zh-CN" w:bidi="ar-SA"/>
              </w:rPr>
            </w:pPr>
            <w:r>
              <w:rPr>
                <w:rFonts w:ascii="仿宋_GB2312" w:eastAsia="仿宋_GB2312" w:cs="仿宋_GB2312" w:hAnsi="仿宋_GB2312" w:hint="eastAsia"/>
                <w:color w:val="000000"/>
                <w:sz w:val="28"/>
                <w:szCs w:val="28"/>
              </w:rPr>
              <w:t>对装饰装修企业将没有防水要求的房间或者阳台改为卫生间、厨房间的，或者拆除连接阳台的砖、混凝土墙体的处罚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2"/>
                <w:sz w:val="28"/>
                <w:szCs w:val="28"/>
                <w:lang w:val="en-US" w:eastAsia="zh-CN" w:bidi="ar-SA"/>
              </w:rPr>
            </w:pPr>
            <w:r>
              <w:rPr>
                <w:rFonts w:ascii="仿宋_GB2312" w:eastAsia="仿宋_GB2312" w:cs="仿宋_GB2312" w:hAnsi="仿宋_GB2312" w:hint="eastAsia"/>
                <w:color w:val="000000"/>
                <w:sz w:val="28"/>
                <w:szCs w:val="28"/>
              </w:rPr>
              <w:t>城乡建设部门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《住宅室内装饰装修管理办法》第三十八条</w:t>
            </w:r>
          </w:p>
          <w:p>
            <w:pPr>
              <w:spacing w:line="340" w:lineRule="exact"/>
              <w:rPr>
                <w:rFonts w:ascii="仿宋_GB2312" w:eastAsia="仿宋_GB2312" w:cs="仿宋_GB2312" w:hAnsi="仿宋_GB2312" w:hint="eastAsia"/>
                <w:color w:val="000000"/>
                <w:kern w:val="2"/>
                <w:sz w:val="28"/>
                <w:szCs w:val="28"/>
                <w:lang w:val="en-US" w:eastAsia="zh-CN" w:bidi="ar-SA"/>
              </w:rPr>
            </w:pP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lang w:val="en-US" w:eastAsia="zh-CN"/>
              </w:rPr>
              <w:t>51</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u w:val="single"/>
              </w:rPr>
            </w:pPr>
            <w:r>
              <w:rPr>
                <w:rFonts w:ascii="仿宋_GB2312" w:eastAsia="仿宋_GB2312" w:cs="仿宋_GB2312" w:hAnsi="仿宋_GB2312" w:hint="eastAsia"/>
                <w:color w:val="000000"/>
                <w:sz w:val="28"/>
                <w:szCs w:val="28"/>
              </w:rPr>
              <w:t>对未经许可</w:t>
            </w:r>
            <w:r>
              <w:rPr>
                <w:rFonts w:ascii="仿宋_GB2312" w:eastAsia="仿宋_GB2312" w:cs="仿宋_GB2312" w:hAnsi="仿宋_GB2312" w:hint="eastAsia"/>
                <w:color w:val="000000"/>
                <w:sz w:val="28"/>
                <w:szCs w:val="28"/>
                <w:lang w:eastAsia="zh-CN"/>
              </w:rPr>
              <w:t>变动房屋结构</w:t>
            </w:r>
            <w:r>
              <w:rPr>
                <w:rFonts w:ascii="仿宋_GB2312" w:eastAsia="仿宋_GB2312" w:cs="仿宋_GB2312" w:hAnsi="仿宋_GB2312" w:hint="eastAsia"/>
                <w:color w:val="000000"/>
                <w:sz w:val="28"/>
                <w:szCs w:val="28"/>
              </w:rPr>
              <w:t>或者未按照许可的方案施工</w:t>
            </w:r>
            <w:r>
              <w:rPr>
                <w:rFonts w:ascii="仿宋_GB2312" w:eastAsia="仿宋_GB2312" w:cs="仿宋_GB2312" w:hAnsi="仿宋_GB2312" w:hint="eastAsia"/>
                <w:color w:val="000000"/>
                <w:sz w:val="28"/>
                <w:szCs w:val="28"/>
                <w:lang w:eastAsia="zh-CN"/>
              </w:rPr>
              <w:t>逾期不改正</w:t>
            </w:r>
            <w:r>
              <w:rPr>
                <w:rFonts w:ascii="仿宋_GB2312" w:eastAsia="仿宋_GB2312" w:cs="仿宋_GB2312" w:hAnsi="仿宋_GB2312" w:hint="eastAsia"/>
                <w:color w:val="000000"/>
                <w:sz w:val="28"/>
                <w:szCs w:val="28"/>
              </w:rPr>
              <w:t>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《南京市房屋使用安全管理条例》第十二条、第十六条、第六十一条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52</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对房屋安全鉴定单位提供虚假鉴定报告的处罚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《南京市房屋使用安全管理条例》第六十三条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53</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对房屋使用安全责任人不委托进行房屋安全鉴定、 建设单位不委托进行施工影响鉴定和建筑幕墙安全维护人不进行幕墙安全性能鉴定逾期仍不委托鉴定的处罚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《南京市房屋使用安全管理条例》第六十四条</w:t>
            </w:r>
          </w:p>
        </w:tc>
      </w:tr>
      <w:tr>
        <w:trPr>
          <w:trHeight w:val="90"/>
        </w:trP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5</w:t>
            </w:r>
            <w:r>
              <w:rPr>
                <w:rFonts w:ascii="仿宋_GB2312" w:eastAsia="仿宋_GB2312" w:cs="仿宋_GB2312" w:hAnsi="仿宋_GB2312" w:hint="eastAsia"/>
                <w:color w:val="000000"/>
                <w:sz w:val="28"/>
                <w:szCs w:val="28"/>
                <w:lang w:val="en-US" w:eastAsia="zh-CN"/>
              </w:rPr>
              <w:t>4</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kern w:val="2"/>
                <w:sz w:val="28"/>
                <w:szCs w:val="28"/>
                <w:lang w:val="en-US" w:eastAsia="zh-CN" w:bidi="ar-SA"/>
              </w:rPr>
            </w:pPr>
            <w:r>
              <w:rPr>
                <w:rFonts w:ascii="仿宋_GB2312" w:eastAsia="仿宋_GB2312" w:cs="仿宋_GB2312" w:hAnsi="仿宋_GB2312" w:hint="eastAsia"/>
                <w:color w:val="000000"/>
                <w:sz w:val="28"/>
                <w:szCs w:val="28"/>
              </w:rPr>
              <w:t>对装饰装修拆改房屋主要承重构件、抗震措施的处罚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2"/>
                <w:sz w:val="28"/>
                <w:szCs w:val="28"/>
                <w:lang w:val="en-US" w:eastAsia="zh-CN" w:bidi="ar-SA"/>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kern w:val="2"/>
                <w:sz w:val="28"/>
                <w:szCs w:val="28"/>
                <w:lang w:val="en-US" w:eastAsia="zh-CN" w:bidi="ar-SA"/>
              </w:rPr>
            </w:pPr>
            <w:r>
              <w:rPr>
                <w:rFonts w:ascii="仿宋_GB2312" w:eastAsia="仿宋_GB2312" w:cs="仿宋_GB2312" w:hAnsi="仿宋_GB2312" w:hint="eastAsia"/>
                <w:color w:val="000000"/>
                <w:sz w:val="28"/>
                <w:szCs w:val="28"/>
              </w:rPr>
              <w:t>《南京市房屋使用安全管理条例》第六十条</w:t>
            </w:r>
          </w:p>
        </w:tc>
      </w:tr>
      <w:tr>
        <w:trPr>
          <w:trHeight w:val="90"/>
        </w:trP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5</w:t>
            </w:r>
            <w:r>
              <w:rPr>
                <w:rFonts w:ascii="仿宋_GB2312" w:eastAsia="仿宋_GB2312" w:cs="仿宋_GB2312" w:hAnsi="仿宋_GB2312" w:hint="eastAsia"/>
                <w:color w:val="000000"/>
                <w:sz w:val="28"/>
                <w:szCs w:val="28"/>
                <w:lang w:val="en-US" w:eastAsia="zh-CN"/>
              </w:rPr>
              <w:t>5</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对物业管理单位发现装修人或者装饰装修企业有违反本办法规定的行为不及时向有关部门报告的处罚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《住宅室内装饰装修管理办法》第四十二条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5</w:t>
            </w:r>
            <w:r>
              <w:rPr>
                <w:rFonts w:ascii="仿宋_GB2312" w:eastAsia="仿宋_GB2312" w:cs="仿宋_GB2312" w:hAnsi="仿宋_GB2312" w:hint="eastAsia"/>
                <w:color w:val="000000"/>
                <w:sz w:val="28"/>
                <w:szCs w:val="28"/>
                <w:lang w:val="en-US" w:eastAsia="zh-CN"/>
              </w:rPr>
              <w:t>6</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kern w:val="0"/>
                <w:sz w:val="28"/>
                <w:szCs w:val="28"/>
              </w:rPr>
              <w:t>对未经批准或者未按照批准内容进行临时建设，以及对临时建筑物、构筑物超过批准期限不拆除的</w:t>
            </w:r>
            <w:bookmarkStart w:id="14" w:name="_GoBack"/>
            <w:bookmarkEnd w:id="14"/>
            <w:r>
              <w:rPr>
                <w:rFonts w:ascii="仿宋_GB2312" w:eastAsia="仿宋_GB2312" w:cs="仿宋_GB2312" w:hAnsi="仿宋_GB2312" w:hint="eastAsia"/>
                <w:color w:val="000000"/>
                <w:kern w:val="0"/>
                <w:sz w:val="28"/>
                <w:szCs w:val="28"/>
              </w:rPr>
              <w:t>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城管部门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kern w:val="0"/>
                <w:sz w:val="28"/>
                <w:szCs w:val="28"/>
              </w:rPr>
              <w:t>《中华人民共和国城乡规划法》第六十六条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5</w:t>
            </w:r>
            <w:r>
              <w:rPr>
                <w:rFonts w:ascii="仿宋_GB2312" w:eastAsia="仿宋_GB2312" w:cs="仿宋_GB2312" w:hAnsi="仿宋_GB2312" w:hint="eastAsia"/>
                <w:color w:val="000000"/>
                <w:sz w:val="28"/>
                <w:szCs w:val="28"/>
                <w:lang w:val="en-US" w:eastAsia="zh-CN"/>
              </w:rPr>
              <w:t>7</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kern w:val="0"/>
                <w:sz w:val="28"/>
                <w:szCs w:val="28"/>
              </w:rPr>
              <w:t>对擅自改变经规划审批的地下空间的使用功能、层数和面积的处罚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城管部门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kern w:val="0"/>
                <w:sz w:val="28"/>
                <w:szCs w:val="28"/>
              </w:rPr>
              <w:t>《江苏省城乡规划条例》第六十三条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5</w:t>
            </w:r>
            <w:r>
              <w:rPr>
                <w:rFonts w:ascii="仿宋_GB2312" w:eastAsia="仿宋_GB2312" w:cs="仿宋_GB2312" w:hAnsi="仿宋_GB2312" w:hint="eastAsia"/>
                <w:color w:val="000000"/>
                <w:sz w:val="28"/>
                <w:szCs w:val="28"/>
                <w:lang w:val="en-US" w:eastAsia="zh-CN"/>
              </w:rPr>
              <w:t>8</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对在经城乡规划主管部门核实后的建筑内擅自新建地下建筑物、构筑物的处罚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城管部门</w:t>
            </w:r>
          </w:p>
        </w:tc>
        <w:tc>
          <w:tcPr>
            <w:tcW w:w="5181" w:type="dxa"/>
          </w:tcPr>
          <w:p>
            <w:pPr>
              <w:spacing w:line="340" w:lineRule="exac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《江苏省城乡规划条例》第六十三条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5</w:t>
            </w:r>
            <w:r>
              <w:rPr>
                <w:rFonts w:ascii="仿宋_GB2312" w:eastAsia="仿宋_GB2312" w:cs="仿宋_GB2312" w:hAnsi="仿宋_GB2312" w:hint="eastAsia"/>
                <w:color w:val="000000"/>
                <w:sz w:val="28"/>
                <w:szCs w:val="28"/>
                <w:lang w:val="en-US" w:eastAsia="zh-CN"/>
              </w:rPr>
              <w:t>9</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lang w:eastAsia="zh-CN"/>
              </w:rPr>
              <w:t>对</w:t>
            </w:r>
            <w:r>
              <w:rPr>
                <w:rFonts w:ascii="仿宋_GB2312" w:eastAsia="仿宋_GB2312" w:cs="仿宋_GB2312" w:hAnsi="仿宋_GB2312" w:hint="eastAsia"/>
                <w:color w:val="000000"/>
                <w:kern w:val="0"/>
                <w:sz w:val="28"/>
                <w:szCs w:val="28"/>
              </w:rPr>
              <w:t>将厨房、卫生间、阳台、过道、地下储藏室、车库等非居住空间单独出租用于居住，或者租赁住房不符合规定的单间租住人数上限或者人均最低租住面积标准的</w:t>
            </w:r>
            <w:r>
              <w:rPr>
                <w:rFonts w:ascii="仿宋_GB2312" w:eastAsia="仿宋_GB2312" w:cs="仿宋_GB2312" w:hAnsi="仿宋_GB2312" w:hint="eastAsia"/>
                <w:color w:val="000000"/>
                <w:kern w:val="0"/>
                <w:sz w:val="28"/>
                <w:szCs w:val="28"/>
                <w:lang w:eastAsia="zh-CN"/>
              </w:rPr>
              <w:t>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b w:val="0"/>
                <w:bCs/>
                <w:color w:val="000000"/>
                <w:kern w:val="0"/>
                <w:sz w:val="28"/>
                <w:szCs w:val="28"/>
                <w:lang w:val="en-US" w:eastAsia="zh-CN" w:bidi="ar-SA"/>
              </w:rPr>
              <w:t>《住房租赁条例》第三十九条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lang w:val="en-US" w:eastAsia="zh-CN"/>
              </w:rPr>
              <w:t>60</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对出租不能继续使用的危险房屋的处罚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《江苏省城市房地产交易管理条例》第四十条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lang w:val="en-US" w:eastAsia="zh-CN"/>
              </w:rPr>
              <w:t>61</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对出租属于违法建筑的房屋、出租不符合安全、防灾等工程建设强制性标准的房屋、出租违反规定改变房屋使用性质的房屋的处罚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kern w:val="0"/>
                <w:sz w:val="28"/>
                <w:szCs w:val="28"/>
              </w:rPr>
              <w:t>《商品房屋租赁管理办法》第六条、第二十一条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62</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kern w:val="0"/>
                <w:sz w:val="28"/>
                <w:szCs w:val="28"/>
                <w:lang w:val="en-US" w:eastAsia="zh-CN"/>
              </w:rPr>
            </w:pPr>
            <w:r>
              <w:rPr>
                <w:rFonts w:ascii="仿宋_GB2312" w:eastAsia="仿宋_GB2312" w:cs="仿宋_GB2312" w:hAnsi="仿宋_GB2312" w:hint="eastAsia"/>
                <w:color w:val="000000"/>
                <w:kern w:val="0"/>
                <w:sz w:val="28"/>
                <w:szCs w:val="28"/>
              </w:rPr>
              <w:t>对承租人破坏或者擅自装修所承租公共租赁住房，拒不恢复原状的处罚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2"/>
                <w:sz w:val="28"/>
                <w:szCs w:val="28"/>
                <w:lang w:val="en-US" w:eastAsia="zh-CN" w:bidi="ar-SA"/>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kern w:val="0"/>
                <w:sz w:val="28"/>
                <w:szCs w:val="28"/>
                <w:lang w:val="en-US" w:eastAsia="zh-CN"/>
              </w:rPr>
            </w:pPr>
            <w:r>
              <w:rPr>
                <w:rFonts w:ascii="仿宋_GB2312" w:eastAsia="仿宋_GB2312" w:cs="仿宋_GB2312" w:hAnsi="仿宋_GB2312" w:hint="eastAsia"/>
                <w:color w:val="000000"/>
                <w:kern w:val="0"/>
                <w:sz w:val="28"/>
                <w:szCs w:val="28"/>
              </w:rPr>
              <w:t>《公共租赁住房管理办法》第三十六条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63</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lang w:eastAsia="zh-CN"/>
              </w:rPr>
              <w:t>对</w:t>
            </w:r>
            <w:r>
              <w:rPr>
                <w:rFonts w:ascii="仿宋_GB2312" w:eastAsia="仿宋_GB2312" w:cs="仿宋_GB2312" w:hAnsi="仿宋_GB2312" w:hint="eastAsia"/>
                <w:color w:val="000000"/>
                <w:kern w:val="0"/>
                <w:sz w:val="28"/>
                <w:szCs w:val="28"/>
              </w:rPr>
              <w:t>房屋出租人将房屋出租给身份不明、拒绝登记身份信息的人的，或者不按规定登记承租人姓名、有效身份证件种类和号码等信息的</w:t>
            </w:r>
            <w:r>
              <w:rPr>
                <w:rFonts w:ascii="仿宋_GB2312" w:eastAsia="仿宋_GB2312" w:cs="仿宋_GB2312" w:hAnsi="仿宋_GB2312" w:hint="eastAsia"/>
                <w:color w:val="000000"/>
                <w:kern w:val="0"/>
                <w:sz w:val="28"/>
                <w:szCs w:val="28"/>
                <w:lang w:eastAsia="zh-CN"/>
              </w:rPr>
              <w:t>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公安部门</w:t>
            </w:r>
          </w:p>
        </w:tc>
        <w:tc>
          <w:tcPr>
            <w:tcW w:w="5181" w:type="dxa"/>
          </w:tcPr>
          <w:p>
            <w:pPr>
              <w:spacing w:line="340" w:lineRule="exact"/>
              <w:rPr>
                <w:rFonts w:ascii="仿宋_GB2312" w:eastAsia="仿宋_GB2312" w:cs="仿宋_GB2312" w:hAnsi="仿宋_GB2312" w:hint="eastAsia"/>
                <w:color w:val="000000"/>
                <w:kern w:val="0"/>
                <w:sz w:val="28"/>
                <w:szCs w:val="28"/>
              </w:rPr>
            </w:pPr>
            <w:r>
              <w:rPr>
                <w:rFonts w:ascii="仿宋_GB2312" w:eastAsia="仿宋_GB2312" w:cs="仿宋_GB2312" w:hAnsi="仿宋_GB2312" w:hint="eastAsia"/>
                <w:color w:val="000000"/>
                <w:kern w:val="0"/>
                <w:sz w:val="28"/>
                <w:szCs w:val="28"/>
              </w:rPr>
              <w:t>《中华人民共和国治安管理处罚法》第</w:t>
            </w:r>
            <w:r>
              <w:rPr>
                <w:rFonts w:ascii="仿宋_GB2312" w:eastAsia="仿宋_GB2312" w:cs="仿宋_GB2312" w:hAnsi="仿宋_GB2312" w:hint="eastAsia"/>
                <w:color w:val="000000"/>
                <w:kern w:val="0"/>
                <w:sz w:val="28"/>
                <w:szCs w:val="28"/>
                <w:lang w:eastAsia="zh-CN"/>
              </w:rPr>
              <w:t>六十八</w:t>
            </w:r>
            <w:r>
              <w:rPr>
                <w:rFonts w:ascii="仿宋_GB2312" w:eastAsia="仿宋_GB2312" w:cs="仿宋_GB2312" w:hAnsi="仿宋_GB2312" w:hint="eastAsia"/>
                <w:color w:val="000000"/>
                <w:kern w:val="0"/>
                <w:sz w:val="28"/>
                <w:szCs w:val="28"/>
              </w:rPr>
              <w:t>条</w:t>
            </w:r>
          </w:p>
        </w:tc>
      </w:tr>
      <w:tr>
        <w:trPr>
          <w:trHeight w:val="538"/>
        </w:trPr>
        <w:tc>
          <w:tcPr>
            <w:tcW w:w="14007" w:type="dxa"/>
            <w:gridSpan w:val="4"/>
            <w:vAlign w:val="center"/>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b/>
                <w:bCs/>
                <w:color w:val="000000"/>
                <w:sz w:val="28"/>
                <w:szCs w:val="28"/>
              </w:rPr>
              <w:t>（六）电梯安全运行类</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6</w:t>
            </w:r>
            <w:r>
              <w:rPr>
                <w:rFonts w:ascii="仿宋_GB2312" w:eastAsia="仿宋_GB2312" w:cs="仿宋_GB2312" w:hAnsi="仿宋_GB2312" w:hint="eastAsia"/>
                <w:color w:val="000000"/>
                <w:sz w:val="28"/>
                <w:szCs w:val="28"/>
                <w:lang w:val="en-US" w:eastAsia="zh-CN"/>
              </w:rPr>
              <w:t>4</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对电梯维护保养单位未建立二十四小时值班制度，或者未设立值班电话并保持畅通、未履行报告义务的处罚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市场监督管理部门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《南京市电梯安全条例》第六十一条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6</w:t>
            </w:r>
            <w:r>
              <w:rPr>
                <w:rFonts w:ascii="仿宋_GB2312" w:eastAsia="仿宋_GB2312" w:cs="仿宋_GB2312" w:hAnsi="仿宋_GB2312" w:hint="eastAsia"/>
                <w:color w:val="000000"/>
                <w:sz w:val="28"/>
                <w:szCs w:val="28"/>
                <w:lang w:val="en-US" w:eastAsia="zh-CN"/>
              </w:rPr>
              <w:t>5</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电梯制造单位未向电梯使用单位提供电梯备品备件，未明示备品备件、维修价格和质保期，未提供必要的电梯安全运行、修理、维护保养的技术帮助，或者设置技术障碍影响电梯正常运行，责令改正逾期不改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市场监督管理部门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《江苏省特种设备安全条例》第四十七条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6</w:t>
            </w:r>
            <w:r>
              <w:rPr>
                <w:rFonts w:ascii="仿宋_GB2312" w:eastAsia="仿宋_GB2312" w:cs="仿宋_GB2312" w:hAnsi="仿宋_GB2312" w:hint="eastAsia"/>
                <w:color w:val="000000"/>
                <w:sz w:val="28"/>
                <w:szCs w:val="28"/>
                <w:lang w:val="en-US" w:eastAsia="zh-CN"/>
              </w:rPr>
              <w:t>6</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对电梯使用单位故意损毁或者拒绝移交电梯安全技术档案、未在电梯显著位置张贴统一应急救援标识、委托无相应资质的单位开展维护保养服务，或者在用电梯无维护保养单位，逾期未改正的处罚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市场监督管理部门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《南京市电梯安全条例》第五十九条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6</w:t>
            </w:r>
            <w:r>
              <w:rPr>
                <w:rFonts w:ascii="仿宋_GB2312" w:eastAsia="仿宋_GB2312" w:cs="仿宋_GB2312" w:hAnsi="仿宋_GB2312" w:hint="eastAsia"/>
                <w:color w:val="000000"/>
                <w:sz w:val="28"/>
                <w:szCs w:val="28"/>
                <w:lang w:val="en-US" w:eastAsia="zh-CN"/>
              </w:rPr>
              <w:t>7</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对未经许可，擅自从事电梯维护保养的；电梯的维护保养单位未按照规定以及安全技术规范的要求，进行电梯维护保养的处罚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市场监督管理部门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《中华人民共和国特种设备安全法》第八十八条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6</w:t>
            </w:r>
            <w:r>
              <w:rPr>
                <w:rFonts w:ascii="仿宋_GB2312" w:eastAsia="仿宋_GB2312" w:cs="仿宋_GB2312" w:hAnsi="仿宋_GB2312" w:hint="eastAsia"/>
                <w:color w:val="000000"/>
                <w:sz w:val="28"/>
                <w:szCs w:val="28"/>
                <w:lang w:val="en-US" w:eastAsia="zh-CN"/>
              </w:rPr>
              <w:t>8</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对电梯使用单位未保持电梯紧急报警装置与救援服务联系通畅、电梯发生故障致使乘客被困，未立即协调组织救援的处罚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市场监督管理部门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《南京市电梯安全条例》第五十九条</w:t>
            </w:r>
          </w:p>
        </w:tc>
      </w:tr>
      <w:tr>
        <w:trPr>
          <w:trHeight w:val="90"/>
        </w:trP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6</w:t>
            </w:r>
            <w:r>
              <w:rPr>
                <w:rFonts w:ascii="仿宋_GB2312" w:eastAsia="仿宋_GB2312" w:cs="仿宋_GB2312" w:hAnsi="仿宋_GB2312" w:hint="eastAsia"/>
                <w:color w:val="000000"/>
                <w:sz w:val="28"/>
                <w:szCs w:val="28"/>
                <w:lang w:val="en-US" w:eastAsia="zh-CN"/>
              </w:rPr>
              <w:t>9</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对电梯维护保养单位将电梯维护保养业务转包、分包，或者以授权、委托、挂靠等方式变相转包、分包的处罚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市场监督管理部门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《南京市电梯安全条例》第六十一条</w:t>
            </w:r>
          </w:p>
        </w:tc>
      </w:tr>
      <w:tr>
        <w:trPr>
          <w:trHeight w:val="90"/>
        </w:trP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lang w:val="en-US" w:eastAsia="zh-CN"/>
              </w:rPr>
              <w:t>70</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对未依照规定，对电梯进行清洁、润滑、调整和检查，经责令改正逾期未改正的处罚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市场监督管理部门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《特种设备安全监察条例》第八十三条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lang w:val="en-US" w:eastAsia="zh-CN"/>
              </w:rPr>
              <w:t>71</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对未按期实施检验或者未在安全技术规范规定的时间内出具检验报告，责令改正逾期不改的处罚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市场监督管理部门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《江苏省特种设备安全条例》第四十五条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72</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对负责检验的特种设备检验机构在检验报告发出之前对该电梯能否继续使用未能提出书面意见，责令改正逾期不改的处罚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市场监督管理部门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《江苏省特种设备安全条例》第四十五条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rPr>
              <w:t>7</w:t>
            </w:r>
            <w:r>
              <w:rPr>
                <w:rFonts w:ascii="仿宋_GB2312" w:eastAsia="仿宋_GB2312" w:cs="仿宋_GB2312" w:hAnsi="仿宋_GB2312" w:hint="eastAsia"/>
                <w:color w:val="000000"/>
                <w:sz w:val="28"/>
                <w:szCs w:val="28"/>
                <w:lang w:val="en-US" w:eastAsia="zh-CN"/>
              </w:rPr>
              <w:t>3</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对电梯使用单位未对电梯层门钥匙、电梯轿厢内操纵箱钥匙和电梯启动钥匙实施统一管理的处罚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市场监督管理部门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《江苏省特种设备安全条例》第四十八条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7</w:t>
            </w:r>
            <w:r>
              <w:rPr>
                <w:rFonts w:ascii="仿宋_GB2312" w:eastAsia="仿宋_GB2312" w:cs="仿宋_GB2312" w:hAnsi="仿宋_GB2312" w:hint="eastAsia"/>
                <w:color w:val="000000"/>
                <w:sz w:val="28"/>
                <w:szCs w:val="28"/>
                <w:lang w:val="en-US" w:eastAsia="zh-CN"/>
              </w:rPr>
              <w:t>4</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对特种设备出现故障或者发生异常情况，未对其进行全面检查、消除事故隐患，继续投入使用，经责令改正逾期未改正的处罚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市场监督管理部门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《特种设备安全监察条例》第八十三条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7</w:t>
            </w:r>
            <w:r>
              <w:rPr>
                <w:rFonts w:ascii="仿宋_GB2312" w:eastAsia="仿宋_GB2312" w:cs="仿宋_GB2312" w:hAnsi="仿宋_GB2312" w:hint="eastAsia"/>
                <w:color w:val="000000"/>
                <w:sz w:val="28"/>
                <w:szCs w:val="28"/>
                <w:lang w:val="en-US" w:eastAsia="zh-CN"/>
              </w:rPr>
              <w:t>5</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对发生特种设备事故时，不立即组织抢救或者在事故调查处理期间擅离职守或者逃匿的；对特种设备事故迟报、谎报或者瞒报的处罚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市场监督管理部门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《中华人民共和国特种设备安全法》第八十九条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7</w:t>
            </w:r>
            <w:r>
              <w:rPr>
                <w:rFonts w:ascii="仿宋_GB2312" w:eastAsia="仿宋_GB2312" w:cs="仿宋_GB2312" w:hAnsi="仿宋_GB2312" w:hint="eastAsia"/>
                <w:color w:val="000000"/>
                <w:sz w:val="28"/>
                <w:szCs w:val="28"/>
                <w:lang w:val="en-US" w:eastAsia="zh-CN"/>
              </w:rPr>
              <w:t>6</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对未按照安全技术规范的要求对电梯进行校验、调试的；对电梯的安全运行情况进行跟踪调查和了解时，发现存在严重事故隐患，未及时告知电梯使用单位并向负责特种设备安全监督管理的部门报告的处罚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市场监督管理部门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《中华人民共和国特种设备安全法》第八十条</w:t>
            </w:r>
          </w:p>
        </w:tc>
      </w:tr>
      <w:tr>
        <w:trPr>
          <w:trHeight w:val="538"/>
        </w:trPr>
        <w:tc>
          <w:tcPr>
            <w:tcW w:w="14007" w:type="dxa"/>
            <w:gridSpan w:val="4"/>
            <w:vAlign w:val="center"/>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b/>
                <w:bCs/>
                <w:color w:val="000000"/>
                <w:sz w:val="28"/>
                <w:szCs w:val="28"/>
              </w:rPr>
              <w:t>（七）环境卫生和绿化类</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7</w:t>
            </w:r>
            <w:r>
              <w:rPr>
                <w:rFonts w:ascii="仿宋_GB2312" w:eastAsia="仿宋_GB2312" w:cs="仿宋_GB2312" w:hAnsi="仿宋_GB2312" w:hint="eastAsia"/>
                <w:color w:val="000000"/>
                <w:sz w:val="28"/>
                <w:szCs w:val="28"/>
                <w:lang w:val="en-US" w:eastAsia="zh-CN"/>
              </w:rPr>
              <w:t>7</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w:t>
            </w:r>
            <w:r>
              <w:rPr>
                <w:rFonts w:ascii="仿宋_GB2312" w:eastAsia="仿宋_GB2312" w:cs="仿宋_GB2312" w:hAnsi="仿宋_GB2312" w:hint="eastAsia"/>
                <w:color w:val="000000"/>
                <w:sz w:val="28"/>
                <w:szCs w:val="28"/>
                <w:lang w:eastAsia="zh-CN"/>
              </w:rPr>
              <w:t>未经同意</w:t>
            </w:r>
            <w:r>
              <w:rPr>
                <w:rFonts w:ascii="仿宋_GB2312" w:eastAsia="仿宋_GB2312" w:cs="仿宋_GB2312" w:hAnsi="仿宋_GB2312" w:hint="eastAsia"/>
                <w:color w:val="000000"/>
                <w:sz w:val="28"/>
                <w:szCs w:val="28"/>
              </w:rPr>
              <w:t>擅自占用城市绿化用地</w:t>
            </w:r>
            <w:r>
              <w:rPr>
                <w:rFonts w:ascii="仿宋_GB2312" w:eastAsia="仿宋_GB2312" w:cs="仿宋_GB2312" w:hAnsi="仿宋_GB2312" w:hint="eastAsia"/>
                <w:color w:val="000000"/>
                <w:sz w:val="28"/>
                <w:szCs w:val="28"/>
                <w:lang w:eastAsia="zh-CN"/>
              </w:rPr>
              <w:t>行为</w:t>
            </w:r>
            <w:r>
              <w:rPr>
                <w:rFonts w:ascii="仿宋_GB2312" w:eastAsia="仿宋_GB2312" w:cs="仿宋_GB2312" w:hAnsi="仿宋_GB2312" w:hint="eastAsia"/>
                <w:color w:val="000000"/>
                <w:sz w:val="28"/>
                <w:szCs w:val="28"/>
              </w:rPr>
              <w:t>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城管部门</w:t>
            </w:r>
          </w:p>
        </w:tc>
        <w:tc>
          <w:tcPr>
            <w:tcW w:w="5181" w:type="dxa"/>
          </w:tcPr>
          <w:p>
            <w:pPr>
              <w:spacing w:line="340" w:lineRule="exact"/>
              <w:rPr>
                <w:rFonts w:ascii="仿宋_GB2312" w:eastAsia="仿宋_GB2312" w:cs="仿宋_GB2312" w:hAnsi="仿宋_GB2312" w:hint="eastAsia"/>
                <w:color w:val="000000"/>
                <w:kern w:val="2"/>
                <w:sz w:val="28"/>
                <w:szCs w:val="28"/>
                <w:lang w:eastAsia="zh-CN"/>
              </w:rPr>
            </w:pPr>
            <w:r>
              <w:rPr>
                <w:rFonts w:ascii="仿宋_GB2312" w:eastAsia="仿宋_GB2312" w:cs="仿宋_GB2312" w:hAnsi="仿宋_GB2312" w:hint="eastAsia"/>
                <w:color w:val="000000"/>
                <w:kern w:val="2"/>
                <w:sz w:val="28"/>
                <w:szCs w:val="28"/>
              </w:rPr>
              <w:t>《城市绿化条例》</w:t>
            </w:r>
            <w:r>
              <w:rPr>
                <w:rFonts w:ascii="仿宋_GB2312" w:eastAsia="仿宋_GB2312" w:cs="仿宋_GB2312" w:hAnsi="仿宋_GB2312" w:hint="eastAsia"/>
                <w:color w:val="000000"/>
                <w:kern w:val="2"/>
                <w:sz w:val="28"/>
                <w:szCs w:val="28"/>
                <w:lang w:eastAsia="zh-CN"/>
              </w:rPr>
              <w:t>第二十七条</w:t>
            </w:r>
          </w:p>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《江苏省城市绿化管理条例》第二十四条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7</w:t>
            </w:r>
            <w:r>
              <w:rPr>
                <w:rFonts w:ascii="仿宋_GB2312" w:eastAsia="仿宋_GB2312" w:cs="仿宋_GB2312" w:hAnsi="仿宋_GB2312" w:hint="eastAsia"/>
                <w:color w:val="000000"/>
                <w:sz w:val="28"/>
                <w:szCs w:val="28"/>
                <w:lang w:val="en-US" w:eastAsia="zh-CN"/>
              </w:rPr>
              <w:t>8</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对擅自砍伐城市树木的处罚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城管部门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《城市绿化条例》第二十六条</w:t>
            </w:r>
          </w:p>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《江苏省城市绿化管理条例》第二十三条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7</w:t>
            </w:r>
            <w:r>
              <w:rPr>
                <w:rFonts w:ascii="仿宋_GB2312" w:eastAsia="仿宋_GB2312" w:cs="仿宋_GB2312" w:hAnsi="仿宋_GB2312" w:hint="eastAsia"/>
                <w:color w:val="000000"/>
                <w:sz w:val="28"/>
                <w:szCs w:val="28"/>
                <w:lang w:val="en-US" w:eastAsia="zh-CN"/>
              </w:rPr>
              <w:t>9</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对擅自移植树木的，或者经批准砍伐但未按照规定补植的处罚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城管部门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《南京市城市绿化条例》第五十四条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lang w:val="en-US" w:eastAsia="zh-CN"/>
              </w:rPr>
              <w:t>80</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对擅自超出门窗、外墙进行店外占道经营、作业或者展示商品</w:t>
            </w:r>
            <w:r>
              <w:rPr>
                <w:rFonts w:ascii="仿宋_GB2312" w:eastAsia="仿宋_GB2312" w:cs="仿宋_GB2312" w:hAnsi="仿宋_GB2312" w:hint="eastAsia"/>
                <w:b w:val="0"/>
                <w:bCs w:val="0"/>
                <w:color w:val="000000"/>
                <w:kern w:val="2"/>
                <w:sz w:val="28"/>
                <w:szCs w:val="28"/>
                <w:lang w:val="en-US" w:eastAsia="zh-CN" w:bidi="ar-SA"/>
              </w:rPr>
              <w:t>影响市容的</w:t>
            </w:r>
            <w:r>
              <w:rPr>
                <w:rFonts w:ascii="仿宋_GB2312" w:eastAsia="仿宋_GB2312" w:cs="仿宋_GB2312" w:hAnsi="仿宋_GB2312" w:hint="eastAsia"/>
                <w:color w:val="000000"/>
                <w:sz w:val="28"/>
                <w:szCs w:val="28"/>
              </w:rPr>
              <w:t>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城管部门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《江苏省城市市容和环境卫生管理条例》第六十三条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lang w:val="en-US" w:eastAsia="zh-CN"/>
              </w:rPr>
              <w:t>81</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对个人未按照规定的时间、地点、方式等要求分类投放生活垃圾，拒不听从管理责任人</w:t>
            </w:r>
          </w:p>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劝阻的处罚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城管部门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《南京市生活垃圾管理条例》第四十七条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82</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对随意倾倒、抛撒、堆放或者焚烧生活垃圾的处罚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城管部门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《中华人民共和国固体废物污染环境防治法》第一百一十一条</w:t>
            </w:r>
          </w:p>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《城市生活垃圾管理办法》第四十二条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8</w:t>
            </w:r>
            <w:r>
              <w:rPr>
                <w:rFonts w:ascii="仿宋_GB2312" w:eastAsia="仿宋_GB2312" w:cs="仿宋_GB2312" w:hAnsi="仿宋_GB2312" w:hint="eastAsia"/>
                <w:color w:val="000000"/>
                <w:sz w:val="28"/>
                <w:szCs w:val="28"/>
                <w:lang w:val="en-US" w:eastAsia="zh-CN"/>
              </w:rPr>
              <w:t>3</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对将建筑垃圾混入生活垃圾的处罚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城管部门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《城市建筑垃圾管理规定》第二十条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8</w:t>
            </w:r>
            <w:r>
              <w:rPr>
                <w:rFonts w:ascii="仿宋_GB2312" w:eastAsia="仿宋_GB2312" w:cs="仿宋_GB2312" w:hAnsi="仿宋_GB2312" w:hint="eastAsia"/>
                <w:color w:val="000000"/>
                <w:sz w:val="28"/>
                <w:szCs w:val="28"/>
                <w:lang w:val="en-US" w:eastAsia="zh-CN"/>
              </w:rPr>
              <w:t>4</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对在建（构）筑物或者其他设施以及树木、地面上涂写、刻画，或者未经批准在建（构）筑物、其他设施上张挂、张贴宣传品等，或者有组织地利用涂写、刻画、张挂、张贴进行宣传的处罚</w:t>
            </w:r>
            <w:r>
              <w:rPr>
                <w:rFonts w:ascii="仿宋_GB2312" w:eastAsia="仿宋_GB2312" w:cs="仿宋_GB2312" w:hAnsi="仿宋_GB2312" w:hint="eastAsia"/>
                <w:color w:val="000000"/>
                <w:sz w:val="28"/>
                <w:szCs w:val="28"/>
                <w:lang w:eastAsia="zh-CN"/>
              </w:rPr>
              <w:t>（</w:t>
            </w:r>
            <w:r>
              <w:rPr>
                <w:rFonts w:ascii="仿宋_GB2312" w:eastAsia="仿宋_GB2312" w:cs="仿宋_GB2312" w:hAnsi="仿宋_GB2312" w:hint="eastAsia"/>
                <w:color w:val="000000"/>
                <w:sz w:val="28"/>
                <w:szCs w:val="28"/>
                <w:lang w:val="en-US" w:eastAsia="zh-CN"/>
              </w:rPr>
              <w:t>沿街</w:t>
            </w:r>
            <w:r>
              <w:rPr>
                <w:rFonts w:ascii="仿宋_GB2312" w:eastAsia="仿宋_GB2312" w:cs="仿宋_GB2312" w:hAnsi="仿宋_GB2312" w:hint="eastAsia"/>
                <w:color w:val="000000"/>
                <w:sz w:val="28"/>
                <w:szCs w:val="28"/>
                <w:lang w:eastAsia="zh-CN"/>
              </w:rPr>
              <w:t>）</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城管部门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《城市市容和环境卫生管理条例》第三十四条</w:t>
            </w:r>
          </w:p>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《江苏省城市市容和环境卫生管理条例》第六十三条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8</w:t>
            </w:r>
            <w:r>
              <w:rPr>
                <w:rFonts w:ascii="仿宋_GB2312" w:eastAsia="仿宋_GB2312" w:cs="仿宋_GB2312" w:hAnsi="仿宋_GB2312" w:hint="eastAsia"/>
                <w:color w:val="000000"/>
                <w:sz w:val="28"/>
                <w:szCs w:val="28"/>
                <w:lang w:val="en-US" w:eastAsia="zh-CN"/>
              </w:rPr>
              <w:t>5</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对在主要街道两侧和重点地区的</w:t>
            </w:r>
            <w:r>
              <w:rPr>
                <w:rFonts w:ascii="仿宋_GB2312" w:eastAsia="仿宋_GB2312" w:cs="仿宋_GB2312" w:hAnsi="仿宋_GB2312" w:hint="eastAsia"/>
                <w:color w:val="000000"/>
                <w:sz w:val="28"/>
                <w:szCs w:val="28"/>
                <w:highlight w:val="auto"/>
              </w:rPr>
              <w:t>临街</w:t>
            </w:r>
            <w:r>
              <w:rPr>
                <w:rFonts w:ascii="仿宋_GB2312" w:eastAsia="仿宋_GB2312" w:cs="仿宋_GB2312" w:hAnsi="仿宋_GB2312" w:hint="eastAsia"/>
                <w:color w:val="000000"/>
                <w:sz w:val="28"/>
                <w:szCs w:val="28"/>
              </w:rPr>
              <w:t>建筑物的阳台和窗外，堆放、吊挂有碍市容的物品的处罚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城管部门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《城市市容和环境卫生管理条例》第三十四条</w:t>
            </w:r>
          </w:p>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《江苏省城市市容和环境卫生管理条例》第六十三条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86</w:t>
            </w:r>
          </w:p>
        </w:tc>
        <w:tc>
          <w:tcPr>
            <w:tcW w:w="5533" w:type="dxa"/>
            <w:tcBorders>
              <w:top w:val="single" w:sz="4" w:space="0" w:color="auto"/>
              <w:left w:val="single" w:sz="4" w:space="0" w:color="auto"/>
              <w:right w:val="single" w:sz="4" w:space="0" w:color="auto"/>
            </w:tcBorders>
          </w:tcPr>
          <w:p>
            <w:pPr>
              <w:widowControl/>
              <w:spacing w:line="340" w:lineRule="exact"/>
              <w:jc w:val="left"/>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kern w:val="2"/>
                <w:sz w:val="28"/>
                <w:szCs w:val="28"/>
                <w:lang w:val="en-US" w:eastAsia="zh-CN"/>
              </w:rPr>
              <w:t>对建设工程项目附属绿化工程设计方案未经批准或者未按照批准的设计方案施工逾期不改正的处罚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城管部门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i w:val="0"/>
                <w:iCs w:val="0"/>
                <w:caps w:val="0"/>
                <w:smallCaps w:val="0"/>
                <w:color w:val="000000"/>
                <w:spacing w:val="0"/>
                <w:sz w:val="28"/>
                <w:szCs w:val="28"/>
              </w:rPr>
              <w:t>《南京市城市绿化条例》第四十七条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87</w:t>
            </w:r>
          </w:p>
        </w:tc>
        <w:tc>
          <w:tcPr>
            <w:tcW w:w="5533" w:type="dxa"/>
            <w:tcBorders>
              <w:top w:val="single" w:sz="4" w:space="0" w:color="auto"/>
              <w:left w:val="single" w:sz="4" w:space="0" w:color="auto"/>
              <w:right w:val="single" w:sz="4" w:space="0" w:color="auto"/>
            </w:tcBorders>
          </w:tcPr>
          <w:p>
            <w:pPr>
              <w:widowControl/>
              <w:spacing w:line="340" w:lineRule="exact"/>
              <w:jc w:val="left"/>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kern w:val="2"/>
                <w:sz w:val="28"/>
                <w:szCs w:val="28"/>
                <w:lang w:val="en-US" w:eastAsia="zh-CN"/>
              </w:rPr>
              <w:t>对居住区建设单位未按照要求公示绿地平面图逾期不改正的处罚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城管部门</w:t>
            </w:r>
          </w:p>
        </w:tc>
        <w:tc>
          <w:tcPr>
            <w:tcW w:w="5181" w:type="dxa"/>
          </w:tcPr>
          <w:p>
            <w:pPr>
              <w:spacing w:line="340" w:lineRule="exact"/>
              <w:rPr>
                <w:rFonts w:ascii="仿宋_GB2312" w:eastAsia="仿宋_GB2312" w:cs="仿宋_GB2312" w:hAnsi="仿宋_GB2312" w:hint="eastAsia"/>
                <w:i w:val="0"/>
                <w:iCs w:val="0"/>
                <w:caps w:val="0"/>
                <w:smallCaps w:val="0"/>
                <w:color w:val="000000"/>
                <w:spacing w:val="0"/>
                <w:sz w:val="28"/>
                <w:szCs w:val="28"/>
              </w:rPr>
            </w:pPr>
            <w:r>
              <w:rPr>
                <w:rFonts w:ascii="仿宋_GB2312" w:eastAsia="仿宋_GB2312" w:cs="仿宋_GB2312" w:hAnsi="仿宋_GB2312" w:hint="eastAsia"/>
                <w:i w:val="0"/>
                <w:iCs w:val="0"/>
                <w:caps w:val="0"/>
                <w:smallCaps w:val="0"/>
                <w:color w:val="000000"/>
                <w:spacing w:val="0"/>
                <w:sz w:val="28"/>
                <w:szCs w:val="28"/>
              </w:rPr>
              <w:t>《南京市城市绿化条例》第四十</w:t>
            </w:r>
            <w:r>
              <w:rPr>
                <w:rFonts w:ascii="仿宋_GB2312" w:eastAsia="仿宋_GB2312" w:cs="仿宋_GB2312" w:hAnsi="仿宋_GB2312" w:hint="eastAsia"/>
                <w:i w:val="0"/>
                <w:iCs w:val="0"/>
                <w:caps w:val="0"/>
                <w:smallCaps w:val="0"/>
                <w:color w:val="000000"/>
                <w:spacing w:val="0"/>
                <w:sz w:val="28"/>
                <w:szCs w:val="28"/>
                <w:lang w:eastAsia="zh-CN"/>
              </w:rPr>
              <w:t>八</w:t>
            </w:r>
            <w:r>
              <w:rPr>
                <w:rFonts w:ascii="仿宋_GB2312" w:eastAsia="仿宋_GB2312" w:cs="仿宋_GB2312" w:hAnsi="仿宋_GB2312" w:hint="eastAsia"/>
                <w:i w:val="0"/>
                <w:iCs w:val="0"/>
                <w:caps w:val="0"/>
                <w:smallCaps w:val="0"/>
                <w:color w:val="000000"/>
                <w:spacing w:val="0"/>
                <w:sz w:val="28"/>
                <w:szCs w:val="28"/>
              </w:rPr>
              <w:t>条</w:t>
            </w:r>
          </w:p>
        </w:tc>
      </w:tr>
      <w:tr>
        <w:trPr>
          <w:trHeight w:val="660"/>
        </w:trPr>
        <w:tc>
          <w:tcPr>
            <w:tcW w:w="14007" w:type="dxa"/>
            <w:gridSpan w:val="4"/>
            <w:vAlign w:val="center"/>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b/>
                <w:bCs/>
                <w:color w:val="000000"/>
                <w:sz w:val="28"/>
                <w:szCs w:val="28"/>
              </w:rPr>
              <w:t>（八）物业服务类</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8</w:t>
            </w:r>
            <w:r>
              <w:rPr>
                <w:rFonts w:ascii="仿宋_GB2312" w:eastAsia="仿宋_GB2312" w:cs="仿宋_GB2312" w:hAnsi="仿宋_GB2312" w:hint="eastAsia"/>
                <w:color w:val="000000"/>
                <w:sz w:val="28"/>
                <w:szCs w:val="28"/>
                <w:lang w:val="en-US" w:eastAsia="zh-CN"/>
              </w:rPr>
              <w:t>8</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lang w:eastAsia="zh-CN"/>
              </w:rPr>
              <w:t>对原物业服务企业未按照规定履行交接义务的处罚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《江苏省物业管理条例》第八十八条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rPr>
            </w:pPr>
          </w:p>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89</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lang w:eastAsia="zh-CN"/>
              </w:rPr>
              <w:t>对原物业服务企业在业主或者业主大会选聘的新物业服务企业或者决定自行管理的业主接管之前，不维持正常的物业管理秩序的处罚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《江苏省物业管理条例》第八十八条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90</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kern w:val="2"/>
                <w:sz w:val="28"/>
                <w:szCs w:val="28"/>
                <w:lang w:val="en-US" w:eastAsia="zh-CN" w:bidi="ar-SA"/>
              </w:rPr>
            </w:pPr>
            <w:r>
              <w:rPr>
                <w:rFonts w:ascii="仿宋_GB2312" w:eastAsia="仿宋_GB2312" w:cs="仿宋_GB2312" w:hAnsi="仿宋_GB2312" w:hint="eastAsia"/>
                <w:color w:val="000000"/>
                <w:sz w:val="28"/>
                <w:szCs w:val="28"/>
              </w:rPr>
              <w:t>对被解聘的物业服务企业拒不撤出物业管理区域的处罚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2"/>
                <w:sz w:val="28"/>
                <w:szCs w:val="28"/>
                <w:lang w:val="en-US" w:eastAsia="zh-CN" w:bidi="ar-SA"/>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kern w:val="2"/>
                <w:sz w:val="28"/>
                <w:szCs w:val="28"/>
                <w:lang w:val="en-US" w:eastAsia="zh-CN" w:bidi="ar-SA"/>
              </w:rPr>
            </w:pPr>
            <w:r>
              <w:rPr>
                <w:rFonts w:ascii="仿宋_GB2312" w:eastAsia="仿宋_GB2312" w:cs="仿宋_GB2312" w:hAnsi="仿宋_GB2312" w:hint="eastAsia"/>
                <w:color w:val="000000"/>
                <w:sz w:val="28"/>
                <w:szCs w:val="28"/>
              </w:rPr>
              <w:t>《江苏省物业管理条例》第八十八条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lang w:val="en-US" w:eastAsia="zh-CN"/>
              </w:rPr>
              <w:t>91</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对物业服务企业未经业主大会同意擅自改变物业管理用房的用途的处罚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《物业管理条例》第六十二条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lang w:val="en-US" w:eastAsia="zh-CN"/>
              </w:rPr>
              <w:t>92</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对住宅物业的建设单位未通过招投标的方式选聘物业服务企业或者未经批准，擅自采用协议方式选聘物业服务企业的处罚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《物业管理条例》第五十六条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lang w:val="en-US" w:eastAsia="zh-CN"/>
              </w:rPr>
              <w:t>93</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对建设单位在物业管理区域内不按照规定配置必要的物业管理用房的处罚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《物业管理条例》第六十一条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94</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对擅自占用、挖掘物业管理区域内道路、场地，损害业主共同利益的处罚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《物业管理条例》第六十三条</w:t>
            </w:r>
          </w:p>
          <w:p>
            <w:pPr>
              <w:spacing w:line="340" w:lineRule="exact"/>
              <w:rPr>
                <w:rFonts w:ascii="仿宋_GB2312" w:eastAsia="仿宋_GB2312" w:cs="仿宋_GB2312" w:hAnsi="仿宋_GB2312" w:hint="eastAsia"/>
                <w:color w:val="000000"/>
                <w:sz w:val="28"/>
                <w:szCs w:val="28"/>
              </w:rPr>
            </w:pP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95</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对擅自改变物业管理区域内按照规划建设的公共建筑和共用设施用途的处罚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《物业管理条例》第六十三条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9</w:t>
            </w:r>
            <w:r>
              <w:rPr>
                <w:rFonts w:ascii="仿宋_GB2312" w:eastAsia="仿宋_GB2312" w:cs="仿宋_GB2312" w:hAnsi="仿宋_GB2312" w:hint="eastAsia"/>
                <w:color w:val="000000"/>
                <w:sz w:val="28"/>
                <w:szCs w:val="28"/>
                <w:lang w:val="en-US" w:eastAsia="zh-CN"/>
              </w:rPr>
              <w:t>6</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对擅自利用物业共用部位、共用设施设备进行经营的处罚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《物业管理条例》第六十三条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9</w:t>
            </w:r>
            <w:r>
              <w:rPr>
                <w:rFonts w:ascii="仿宋_GB2312" w:eastAsia="仿宋_GB2312" w:cs="仿宋_GB2312" w:hAnsi="仿宋_GB2312" w:hint="eastAsia"/>
                <w:color w:val="000000"/>
                <w:sz w:val="28"/>
                <w:szCs w:val="28"/>
                <w:lang w:val="en-US" w:eastAsia="zh-CN"/>
              </w:rPr>
              <w:t>7</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对建设单位擅自处分属于业主的物业共用部位、共用设施设备的所有权或者使用权的处罚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《物业管理条例》第五十七条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9</w:t>
            </w:r>
            <w:r>
              <w:rPr>
                <w:rFonts w:ascii="仿宋_GB2312" w:eastAsia="仿宋_GB2312" w:cs="仿宋_GB2312" w:hAnsi="仿宋_GB2312" w:hint="eastAsia"/>
                <w:color w:val="000000"/>
                <w:sz w:val="28"/>
                <w:szCs w:val="28"/>
                <w:lang w:val="en-US" w:eastAsia="zh-CN"/>
              </w:rPr>
              <w:t>8</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对物业服务企业将一个物业管理区域内的全部物业管理一并委托给他人的处罚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《物业管理条例》第五十九条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99</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i w:val="0"/>
                <w:iCs w:val="0"/>
                <w:caps w:val="0"/>
                <w:smallCaps w:val="0"/>
                <w:color w:val="000000"/>
                <w:spacing w:val="0"/>
                <w:sz w:val="28"/>
                <w:szCs w:val="28"/>
                <w:lang w:eastAsia="zh-CN"/>
              </w:rPr>
              <w:t>对</w:t>
            </w:r>
            <w:r>
              <w:rPr>
                <w:rFonts w:ascii="仿宋_GB2312" w:eastAsia="仿宋_GB2312" w:cs="仿宋_GB2312" w:hAnsi="仿宋_GB2312" w:hint="eastAsia"/>
                <w:i w:val="0"/>
                <w:iCs w:val="0"/>
                <w:caps w:val="0"/>
                <w:smallCaps w:val="0"/>
                <w:color w:val="000000"/>
                <w:spacing w:val="0"/>
                <w:sz w:val="28"/>
                <w:szCs w:val="28"/>
              </w:rPr>
              <w:t>建设单位</w:t>
            </w:r>
            <w:r>
              <w:rPr>
                <w:rFonts w:ascii="仿宋_GB2312" w:eastAsia="仿宋_GB2312" w:cs="仿宋_GB2312" w:hAnsi="仿宋_GB2312" w:hint="eastAsia"/>
                <w:i w:val="0"/>
                <w:iCs w:val="0"/>
                <w:caps w:val="0"/>
                <w:smallCaps w:val="0"/>
                <w:color w:val="000000"/>
                <w:spacing w:val="0"/>
                <w:sz w:val="28"/>
                <w:szCs w:val="28"/>
                <w:lang w:eastAsia="zh-CN"/>
              </w:rPr>
              <w:t>将</w:t>
            </w:r>
            <w:r>
              <w:rPr>
                <w:rFonts w:ascii="仿宋_GB2312" w:eastAsia="仿宋_GB2312" w:cs="仿宋_GB2312" w:hAnsi="仿宋_GB2312" w:hint="eastAsia"/>
                <w:i w:val="0"/>
                <w:iCs w:val="0"/>
                <w:caps w:val="0"/>
                <w:smallCaps w:val="0"/>
                <w:color w:val="000000"/>
                <w:spacing w:val="0"/>
                <w:sz w:val="28"/>
                <w:szCs w:val="28"/>
              </w:rPr>
              <w:t>未出售或者未附赠的车位、车库</w:t>
            </w:r>
            <w:r>
              <w:rPr>
                <w:rFonts w:ascii="仿宋_GB2312" w:eastAsia="仿宋_GB2312" w:cs="仿宋_GB2312" w:hAnsi="仿宋_GB2312" w:hint="eastAsia"/>
                <w:i w:val="0"/>
                <w:iCs w:val="0"/>
                <w:caps w:val="0"/>
                <w:smallCaps w:val="0"/>
                <w:color w:val="000000"/>
                <w:spacing w:val="0"/>
                <w:sz w:val="28"/>
                <w:szCs w:val="28"/>
                <w:lang w:eastAsia="zh-CN"/>
              </w:rPr>
              <w:t>不</w:t>
            </w:r>
            <w:r>
              <w:rPr>
                <w:rFonts w:ascii="仿宋_GB2312" w:eastAsia="仿宋_GB2312" w:cs="仿宋_GB2312" w:hAnsi="仿宋_GB2312" w:hint="eastAsia"/>
                <w:i w:val="0"/>
                <w:iCs w:val="0"/>
                <w:caps w:val="0"/>
                <w:smallCaps w:val="0"/>
                <w:color w:val="000000"/>
                <w:spacing w:val="0"/>
                <w:sz w:val="28"/>
                <w:szCs w:val="28"/>
              </w:rPr>
              <w:t>优先出租给本区域内业主，</w:t>
            </w:r>
            <w:r>
              <w:rPr>
                <w:rFonts w:ascii="仿宋_GB2312" w:eastAsia="仿宋_GB2312" w:cs="仿宋_GB2312" w:hAnsi="仿宋_GB2312" w:hint="eastAsia"/>
                <w:i w:val="0"/>
                <w:iCs w:val="0"/>
                <w:caps w:val="0"/>
                <w:smallCaps w:val="0"/>
                <w:color w:val="000000"/>
                <w:spacing w:val="0"/>
                <w:sz w:val="28"/>
                <w:szCs w:val="28"/>
                <w:lang w:eastAsia="zh-CN"/>
              </w:rPr>
              <w:t>或者将多余车位、车库出租给本物业管理区域外使用人的租赁期限超过六个月的</w:t>
            </w:r>
            <w:r>
              <w:rPr>
                <w:rFonts w:ascii="仿宋_GB2312" w:eastAsia="仿宋_GB2312" w:cs="仿宋_GB2312" w:hAnsi="仿宋_GB2312" w:hint="eastAsia"/>
                <w:i w:val="0"/>
                <w:iCs w:val="0"/>
                <w:caps w:val="0"/>
                <w:smallCaps w:val="0"/>
                <w:color w:val="000000"/>
                <w:spacing w:val="0"/>
                <w:sz w:val="28"/>
                <w:szCs w:val="28"/>
              </w:rPr>
              <w:t>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rPr>
              <w:t>《</w:t>
            </w:r>
            <w:r>
              <w:rPr>
                <w:rFonts w:ascii="仿宋_GB2312" w:eastAsia="仿宋_GB2312" w:cs="仿宋_GB2312" w:hAnsi="仿宋_GB2312" w:hint="eastAsia"/>
                <w:color w:val="000000"/>
                <w:sz w:val="28"/>
                <w:szCs w:val="28"/>
                <w:lang w:eastAsia="zh-CN"/>
              </w:rPr>
              <w:t>江苏省</w:t>
            </w:r>
            <w:r>
              <w:rPr>
                <w:rFonts w:ascii="仿宋_GB2312" w:eastAsia="仿宋_GB2312" w:cs="仿宋_GB2312" w:hAnsi="仿宋_GB2312" w:hint="eastAsia"/>
                <w:color w:val="000000"/>
                <w:sz w:val="28"/>
                <w:szCs w:val="28"/>
              </w:rPr>
              <w:t>物业管理条例》</w:t>
            </w:r>
            <w:r>
              <w:rPr>
                <w:rFonts w:ascii="仿宋_GB2312" w:eastAsia="仿宋_GB2312" w:cs="仿宋_GB2312" w:hAnsi="仿宋_GB2312" w:hint="eastAsia"/>
                <w:color w:val="000000"/>
                <w:sz w:val="28"/>
                <w:szCs w:val="28"/>
                <w:lang w:eastAsia="zh-CN"/>
              </w:rPr>
              <w:t>第八十九条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100</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i w:val="0"/>
                <w:iCs w:val="0"/>
                <w:caps w:val="0"/>
                <w:smallCaps w:val="0"/>
                <w:color w:val="000000"/>
                <w:spacing w:val="0"/>
                <w:sz w:val="24"/>
                <w:szCs w:val="24"/>
                <w:lang w:eastAsia="zh-CN"/>
              </w:rPr>
            </w:pPr>
            <w:r>
              <w:rPr>
                <w:rFonts w:ascii="仿宋_GB2312" w:eastAsia="仿宋_GB2312" w:cs="仿宋_GB2312" w:hAnsi="仿宋_GB2312" w:hint="eastAsia"/>
                <w:i w:val="0"/>
                <w:iCs w:val="0"/>
                <w:caps w:val="0"/>
                <w:smallCaps w:val="0"/>
                <w:color w:val="000000"/>
                <w:spacing w:val="0"/>
                <w:sz w:val="28"/>
                <w:szCs w:val="28"/>
                <w:lang w:eastAsia="zh-CN"/>
              </w:rPr>
              <w:t>对建设单位、物业服务企业不移交有关资料的处罚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房产部门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《物业管理条例》第五十</w:t>
            </w:r>
            <w:r>
              <w:rPr>
                <w:rFonts w:ascii="仿宋_GB2312" w:eastAsia="仿宋_GB2312" w:cs="仿宋_GB2312" w:hAnsi="仿宋_GB2312" w:hint="eastAsia"/>
                <w:color w:val="000000"/>
                <w:sz w:val="28"/>
                <w:szCs w:val="28"/>
                <w:lang w:eastAsia="zh-CN"/>
              </w:rPr>
              <w:t>八</w:t>
            </w:r>
            <w:r>
              <w:rPr>
                <w:rFonts w:ascii="仿宋_GB2312" w:eastAsia="仿宋_GB2312" w:cs="仿宋_GB2312" w:hAnsi="仿宋_GB2312" w:hint="eastAsia"/>
                <w:color w:val="000000"/>
                <w:sz w:val="28"/>
                <w:szCs w:val="28"/>
              </w:rPr>
              <w:t>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101</w:t>
            </w:r>
          </w:p>
        </w:tc>
        <w:tc>
          <w:tcPr>
            <w:tcW w:w="5533" w:type="dxa"/>
            <w:tcBorders>
              <w:top w:val="single" w:sz="4" w:space="0" w:color="auto"/>
              <w:left w:val="single" w:sz="4" w:space="0" w:color="auto"/>
              <w:right w:val="single" w:sz="4" w:space="0" w:color="auto"/>
            </w:tcBorders>
          </w:tcPr>
          <w:p>
            <w:pPr>
              <w:widowControl/>
              <w:spacing w:line="340" w:lineRule="exact"/>
              <w:jc w:val="left"/>
              <w:rPr>
                <w:rFonts w:ascii="仿宋_GB2312" w:eastAsia="仿宋_GB2312" w:cs="仿宋_GB2312" w:hAnsi="仿宋_GB2312" w:hint="eastAsia"/>
                <w:color w:val="000000"/>
                <w:kern w:val="2"/>
                <w:sz w:val="28"/>
                <w:szCs w:val="28"/>
                <w:lang w:val="en-US" w:eastAsia="zh-CN"/>
              </w:rPr>
            </w:pPr>
            <w:r>
              <w:rPr>
                <w:rFonts w:ascii="仿宋_GB2312" w:eastAsia="仿宋_GB2312" w:cs="仿宋_GB2312" w:hAnsi="仿宋_GB2312" w:hint="eastAsia"/>
                <w:color w:val="000000"/>
                <w:kern w:val="2"/>
                <w:sz w:val="28"/>
                <w:szCs w:val="28"/>
                <w:lang w:val="en-US" w:eastAsia="zh-CN"/>
              </w:rPr>
              <w:t>对物业管理单位发现装修人或者装饰装修企业有违反规定的行为不及时向有关部门报告的处罚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2"/>
                <w:sz w:val="28"/>
                <w:szCs w:val="28"/>
                <w:lang w:val="en-US" w:eastAsia="zh-CN" w:bidi="ar-SA"/>
              </w:rPr>
            </w:pPr>
            <w:r>
              <w:rPr>
                <w:rFonts w:ascii="仿宋_GB2312" w:eastAsia="仿宋_GB2312" w:cs="仿宋_GB2312" w:hAnsi="仿宋_GB2312" w:hint="eastAsia"/>
                <w:color w:val="000000"/>
                <w:sz w:val="28"/>
                <w:szCs w:val="28"/>
                <w:lang w:eastAsia="zh-CN"/>
              </w:rPr>
              <w:t>房产部门</w:t>
            </w:r>
          </w:p>
        </w:tc>
        <w:tc>
          <w:tcPr>
            <w:tcW w:w="5181" w:type="dxa"/>
          </w:tcPr>
          <w:p>
            <w:pPr>
              <w:keepNext w:val="0"/>
              <w:keepLines w:val="0"/>
              <w:widowControl/>
              <w:suppressLineNumbers w:val="0"/>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kern w:val="2"/>
                <w:sz w:val="28"/>
                <w:szCs w:val="28"/>
                <w:lang w:val="en-US" w:eastAsia="zh-CN"/>
              </w:rPr>
              <w:t>《住宅室内装饰装修管理办法》</w:t>
            </w:r>
            <w:r>
              <w:rPr>
                <w:rFonts w:ascii="仿宋_GB2312" w:eastAsia="仿宋_GB2312" w:cs="仿宋_GB2312" w:hAnsi="仿宋_GB2312" w:hint="eastAsia"/>
                <w:i w:val="0"/>
                <w:iCs w:val="0"/>
                <w:caps w:val="0"/>
                <w:smallCaps w:val="0"/>
                <w:color w:val="000000"/>
                <w:spacing w:val="0"/>
                <w:sz w:val="28"/>
                <w:szCs w:val="28"/>
                <w:shd w:val="clear" w:color="auto" w:fill="auto"/>
              </w:rPr>
              <w:t>第四十二条</w:t>
            </w:r>
          </w:p>
          <w:p>
            <w:pPr>
              <w:spacing w:line="340" w:lineRule="exact"/>
              <w:rPr>
                <w:rFonts w:ascii="仿宋_GB2312" w:eastAsia="仿宋_GB2312" w:cs="仿宋_GB2312" w:hAnsi="仿宋_GB2312" w:hint="eastAsia"/>
                <w:color w:val="000000"/>
                <w:kern w:val="2"/>
                <w:sz w:val="28"/>
                <w:szCs w:val="28"/>
                <w:lang w:val="en-US" w:eastAsia="zh-CN" w:bidi="ar-SA"/>
              </w:rPr>
            </w:pP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102</w:t>
            </w:r>
          </w:p>
        </w:tc>
        <w:tc>
          <w:tcPr>
            <w:tcW w:w="5533" w:type="dxa"/>
            <w:tcBorders>
              <w:top w:val="single" w:sz="4" w:space="0" w:color="auto"/>
              <w:left w:val="single" w:sz="4" w:space="0" w:color="auto"/>
              <w:right w:val="single" w:sz="4" w:space="0" w:color="auto"/>
            </w:tcBorders>
          </w:tcPr>
          <w:p>
            <w:pPr>
              <w:widowControl/>
              <w:spacing w:line="340" w:lineRule="exact"/>
              <w:jc w:val="left"/>
              <w:rPr>
                <w:rFonts w:ascii="仿宋_GB2312" w:eastAsia="仿宋_GB2312" w:cs="仿宋_GB2312" w:hAnsi="仿宋_GB2312" w:hint="eastAsia"/>
                <w:i w:val="0"/>
                <w:iCs w:val="0"/>
                <w:caps w:val="0"/>
                <w:smallCaps w:val="0"/>
                <w:color w:val="000000"/>
                <w:spacing w:val="0"/>
                <w:sz w:val="28"/>
                <w:szCs w:val="28"/>
                <w:lang w:eastAsia="zh-CN"/>
              </w:rPr>
            </w:pPr>
            <w:r>
              <w:rPr>
                <w:rFonts w:ascii="仿宋_GB2312" w:eastAsia="仿宋_GB2312" w:cs="仿宋_GB2312" w:hAnsi="仿宋_GB2312" w:hint="eastAsia"/>
                <w:color w:val="000000"/>
                <w:kern w:val="2"/>
                <w:sz w:val="28"/>
                <w:szCs w:val="28"/>
                <w:lang w:val="en-US" w:eastAsia="zh-CN"/>
              </w:rPr>
              <w:t>对经营者不执行政府指导价、政府定价以及法定的价格干预措施、紧急措施的行为的处罚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lang w:eastAsia="zh-CN"/>
              </w:rPr>
              <w:t>市场监督管理部门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kern w:val="2"/>
                <w:sz w:val="28"/>
                <w:szCs w:val="28"/>
                <w:lang w:val="en-US" w:eastAsia="zh-CN"/>
              </w:rPr>
              <w:t>《中华人民共和国价格法》第三十九条</w:t>
            </w:r>
          </w:p>
        </w:tc>
      </w:tr>
      <w:tr>
        <w:trPr>
          <w:trHeight w:val="579"/>
        </w:trPr>
        <w:tc>
          <w:tcPr>
            <w:tcW w:w="14007" w:type="dxa"/>
            <w:gridSpan w:val="4"/>
            <w:vAlign w:val="center"/>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b/>
                <w:bCs/>
                <w:color w:val="000000"/>
                <w:sz w:val="28"/>
                <w:szCs w:val="28"/>
              </w:rPr>
              <w:t>（九）其他高频事项</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lang w:val="en-US" w:eastAsia="zh-CN"/>
              </w:rPr>
              <w:t>103</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w:t>
            </w:r>
            <w:r>
              <w:rPr>
                <w:rFonts w:ascii="仿宋_GB2312" w:eastAsia="仿宋_GB2312" w:cs="仿宋_GB2312" w:hAnsi="仿宋_GB2312" w:hint="eastAsia"/>
                <w:color w:val="000000"/>
                <w:sz w:val="28"/>
                <w:szCs w:val="28"/>
                <w:lang w:eastAsia="zh-CN"/>
              </w:rPr>
              <w:t>违法向大气排放气体、粉尘、油烟</w:t>
            </w:r>
            <w:r>
              <w:rPr>
                <w:rFonts w:ascii="仿宋_GB2312" w:eastAsia="仿宋_GB2312" w:cs="仿宋_GB2312" w:hAnsi="仿宋_GB2312" w:hint="eastAsia"/>
                <w:color w:val="000000"/>
                <w:sz w:val="28"/>
                <w:szCs w:val="28"/>
              </w:rPr>
              <w:t>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生态环境部门</w:t>
            </w:r>
          </w:p>
        </w:tc>
        <w:tc>
          <w:tcPr>
            <w:tcW w:w="5181" w:type="dxa"/>
          </w:tcPr>
          <w:p>
            <w:pPr>
              <w:spacing w:line="340" w:lineRule="exact"/>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kern w:val="2"/>
                <w:sz w:val="28"/>
                <w:szCs w:val="28"/>
                <w:lang w:val="en-US" w:eastAsia="zh-CN" w:bidi="ar-SA"/>
              </w:rPr>
              <w:t>《中华人民共和国大气污染防治法》</w:t>
            </w:r>
            <w:r>
              <w:rPr>
                <w:rFonts w:ascii="仿宋_GB2312" w:eastAsia="仿宋_GB2312" w:cs="仿宋_GB2312" w:hAnsi="仿宋_GB2312" w:hint="eastAsia"/>
                <w:color w:val="000000"/>
                <w:sz w:val="28"/>
                <w:szCs w:val="28"/>
              </w:rPr>
              <w:t>第一百零八条</w:t>
            </w:r>
            <w:r>
              <w:rPr>
                <w:rFonts w:ascii="仿宋_GB2312" w:eastAsia="仿宋_GB2312" w:cs="仿宋_GB2312" w:hAnsi="仿宋_GB2312" w:hint="eastAsia"/>
                <w:color w:val="000000"/>
                <w:sz w:val="28"/>
                <w:szCs w:val="28"/>
                <w:lang w:eastAsia="zh-CN"/>
              </w:rPr>
              <w:t>、</w:t>
            </w:r>
            <w:r>
              <w:rPr>
                <w:rFonts w:ascii="仿宋_GB2312" w:eastAsia="仿宋_GB2312" w:cs="仿宋_GB2312" w:hAnsi="仿宋_GB2312" w:hint="eastAsia"/>
                <w:color w:val="000000"/>
                <w:kern w:val="2"/>
                <w:sz w:val="28"/>
                <w:szCs w:val="28"/>
                <w:lang w:val="en-US" w:eastAsia="zh-CN" w:bidi="ar-SA"/>
              </w:rPr>
              <w:t>第</w:t>
            </w:r>
            <w:r>
              <w:rPr>
                <w:rFonts w:ascii="仿宋_GB2312" w:eastAsia="仿宋_GB2312" w:cs="仿宋_GB2312" w:hAnsi="仿宋_GB2312" w:hint="eastAsia"/>
                <w:color w:val="000000"/>
                <w:sz w:val="28"/>
                <w:szCs w:val="28"/>
              </w:rPr>
              <w:t>一百一十</w:t>
            </w:r>
            <w:r>
              <w:rPr>
                <w:rFonts w:ascii="仿宋_GB2312" w:eastAsia="仿宋_GB2312" w:cs="仿宋_GB2312" w:hAnsi="仿宋_GB2312" w:hint="eastAsia"/>
                <w:color w:val="000000"/>
                <w:sz w:val="28"/>
                <w:szCs w:val="28"/>
                <w:lang w:eastAsia="zh-CN"/>
              </w:rPr>
              <w:t>七</w:t>
            </w:r>
            <w:r>
              <w:rPr>
                <w:rFonts w:ascii="仿宋_GB2312" w:eastAsia="仿宋_GB2312" w:cs="仿宋_GB2312" w:hAnsi="仿宋_GB2312" w:hint="eastAsia"/>
                <w:color w:val="000000"/>
                <w:sz w:val="28"/>
                <w:szCs w:val="28"/>
              </w:rPr>
              <w:t>条</w:t>
            </w:r>
            <w:r>
              <w:rPr>
                <w:rFonts w:ascii="仿宋_GB2312" w:eastAsia="仿宋_GB2312" w:cs="仿宋_GB2312" w:hAnsi="仿宋_GB2312" w:hint="eastAsia"/>
                <w:color w:val="000000"/>
                <w:sz w:val="28"/>
                <w:szCs w:val="28"/>
                <w:lang w:eastAsia="zh-CN"/>
              </w:rPr>
              <w:t>、</w:t>
            </w:r>
            <w:r>
              <w:rPr>
                <w:rFonts w:ascii="仿宋_GB2312" w:eastAsia="仿宋_GB2312" w:cs="仿宋_GB2312" w:hAnsi="仿宋_GB2312" w:hint="eastAsia"/>
                <w:color w:val="000000"/>
                <w:sz w:val="28"/>
                <w:szCs w:val="28"/>
              </w:rPr>
              <w:t>第一百一十八条</w:t>
            </w:r>
            <w:r>
              <w:rPr>
                <w:rFonts w:ascii="仿宋_GB2312" w:eastAsia="仿宋_GB2312" w:cs="仿宋_GB2312" w:hAnsi="仿宋_GB2312" w:hint="eastAsia"/>
                <w:color w:val="000000"/>
                <w:sz w:val="28"/>
                <w:szCs w:val="28"/>
                <w:lang w:eastAsia="zh-CN"/>
              </w:rPr>
              <w:t>、</w:t>
            </w:r>
            <w:r>
              <w:rPr>
                <w:rFonts w:ascii="仿宋_GB2312" w:eastAsia="仿宋_GB2312" w:cs="仿宋_GB2312" w:hAnsi="仿宋_GB2312" w:hint="eastAsia"/>
                <w:color w:val="000000"/>
                <w:sz w:val="28"/>
                <w:szCs w:val="28"/>
              </w:rPr>
              <w:t>第一百一十</w:t>
            </w:r>
            <w:r>
              <w:rPr>
                <w:rFonts w:ascii="仿宋_GB2312" w:eastAsia="仿宋_GB2312" w:cs="仿宋_GB2312" w:hAnsi="仿宋_GB2312" w:hint="eastAsia"/>
                <w:color w:val="000000"/>
                <w:sz w:val="28"/>
                <w:szCs w:val="28"/>
                <w:lang w:eastAsia="zh-CN"/>
              </w:rPr>
              <w:t>九</w:t>
            </w:r>
            <w:r>
              <w:rPr>
                <w:rFonts w:ascii="仿宋_GB2312" w:eastAsia="仿宋_GB2312" w:cs="仿宋_GB2312" w:hAnsi="仿宋_GB2312" w:hint="eastAsia"/>
                <w:color w:val="000000"/>
                <w:sz w:val="28"/>
                <w:szCs w:val="28"/>
              </w:rPr>
              <w:t>条</w:t>
            </w:r>
          </w:p>
          <w:p>
            <w:pPr>
              <w:spacing w:line="340" w:lineRule="exact"/>
              <w:rPr>
                <w:rFonts w:ascii="仿宋_GB2312" w:eastAsia="仿宋_GB2312" w:cs="仿宋_GB2312" w:hAnsi="仿宋_GB2312" w:hint="eastAsia"/>
                <w:color w:val="000000"/>
                <w:kern w:val="2"/>
                <w:sz w:val="28"/>
                <w:szCs w:val="28"/>
                <w:lang w:val="en-US" w:eastAsia="zh-CN" w:bidi="ar-SA"/>
              </w:rPr>
            </w:pPr>
            <w:r>
              <w:rPr>
                <w:rFonts w:ascii="仿宋_GB2312" w:eastAsia="仿宋_GB2312" w:cs="仿宋_GB2312" w:hAnsi="仿宋_GB2312" w:hint="eastAsia"/>
                <w:color w:val="000000"/>
                <w:sz w:val="28"/>
                <w:szCs w:val="28"/>
              </w:rPr>
              <w:t>《江苏省大气污染防治条例》第九十七条</w:t>
            </w:r>
            <w:r>
              <w:rPr>
                <w:rFonts w:ascii="仿宋_GB2312" w:eastAsia="仿宋_GB2312" w:cs="仿宋_GB2312" w:hAnsi="仿宋_GB2312" w:hint="eastAsia"/>
                <w:color w:val="000000"/>
                <w:sz w:val="28"/>
                <w:szCs w:val="28"/>
                <w:lang w:eastAsia="zh-CN"/>
              </w:rPr>
              <w:t>、</w:t>
            </w:r>
            <w:r>
              <w:rPr>
                <w:rFonts w:ascii="仿宋_GB2312" w:eastAsia="仿宋_GB2312" w:cs="仿宋_GB2312" w:hAnsi="仿宋_GB2312" w:hint="eastAsia"/>
                <w:color w:val="000000"/>
                <w:sz w:val="28"/>
                <w:szCs w:val="28"/>
              </w:rPr>
              <w:t>第九十</w:t>
            </w:r>
            <w:r>
              <w:rPr>
                <w:rFonts w:ascii="仿宋_GB2312" w:eastAsia="仿宋_GB2312" w:cs="仿宋_GB2312" w:hAnsi="仿宋_GB2312" w:hint="eastAsia"/>
                <w:color w:val="000000"/>
                <w:sz w:val="28"/>
                <w:szCs w:val="28"/>
                <w:lang w:eastAsia="zh-CN"/>
              </w:rPr>
              <w:t>九</w:t>
            </w:r>
            <w:r>
              <w:rPr>
                <w:rFonts w:ascii="仿宋_GB2312" w:eastAsia="仿宋_GB2312" w:cs="仿宋_GB2312" w:hAnsi="仿宋_GB2312" w:hint="eastAsia"/>
                <w:color w:val="000000"/>
                <w:sz w:val="28"/>
                <w:szCs w:val="28"/>
              </w:rPr>
              <w:t>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lang w:val="en-US" w:eastAsia="zh-CN"/>
              </w:rPr>
              <w:t>104</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lang w:eastAsia="zh-CN"/>
              </w:rPr>
              <w:t>对</w:t>
            </w:r>
            <w:r>
              <w:rPr>
                <w:rFonts w:ascii="仿宋_GB2312" w:eastAsia="仿宋_GB2312" w:cs="仿宋_GB2312" w:hAnsi="仿宋_GB2312" w:hint="eastAsia"/>
                <w:color w:val="000000"/>
                <w:sz w:val="28"/>
                <w:szCs w:val="28"/>
              </w:rPr>
              <w:t>在居住区及其附近街道、广场、公园等区域进行集会、体育锻炼、娱乐、促销等活动，使用音响器材所产生的环境噪声超过相应的区域环境噪声排放标准，或者在禁止期间内进行产生环境噪声污染影响周边居民正常休息的体育锻炼、娱乐等活动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公安部门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《江苏省环境噪声污染防治条例》第四十一条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lang w:val="en-US" w:eastAsia="zh-CN"/>
              </w:rPr>
              <w:t>105</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对居民在家庭使用家用电器、乐器或者进行娱乐、体育锻炼及其他活动时排放的噪声超过相应的区域环境噪声排放标准的处罚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公安部门</w:t>
            </w:r>
          </w:p>
          <w:p>
            <w:pPr>
              <w:spacing w:line="340" w:lineRule="exact"/>
              <w:jc w:val="center"/>
              <w:rPr>
                <w:rFonts w:ascii="仿宋_GB2312" w:eastAsia="仿宋_GB2312" w:cs="仿宋_GB2312" w:hAnsi="仿宋_GB2312" w:hint="eastAsia"/>
                <w:color w:val="000000"/>
                <w:sz w:val="28"/>
                <w:szCs w:val="28"/>
              </w:rPr>
            </w:pP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《江苏省环境噪声污染防治条例》第四十一条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lang w:val="en-US" w:eastAsia="zh-CN"/>
              </w:rPr>
              <w:t>106</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对在已交付使用的居民住宅楼进行室内装修活动，在夜间和午间使用电钻、电锯、电刨等产生噪声污染的工具，且不听劝阻的处罚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公安部门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《南京市环境噪声污染防治条例》第三十三条、第三十五条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107</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kern w:val="2"/>
                <w:sz w:val="28"/>
                <w:szCs w:val="28"/>
                <w:lang w:val="en-US" w:eastAsia="zh-CN" w:bidi="ar-SA"/>
              </w:rPr>
            </w:pPr>
            <w:r>
              <w:rPr>
                <w:rFonts w:ascii="仿宋_GB2312" w:eastAsia="仿宋_GB2312" w:cs="仿宋_GB2312" w:hAnsi="仿宋_GB2312" w:hint="eastAsia"/>
                <w:color w:val="000000"/>
                <w:sz w:val="28"/>
                <w:szCs w:val="28"/>
                <w:lang w:eastAsia="zh-CN"/>
              </w:rPr>
              <w:t>对</w:t>
            </w:r>
            <w:r>
              <w:rPr>
                <w:rFonts w:ascii="仿宋_GB2312" w:eastAsia="仿宋_GB2312" w:cs="仿宋_GB2312" w:hAnsi="仿宋_GB2312" w:hint="eastAsia"/>
                <w:color w:val="000000"/>
                <w:sz w:val="28"/>
                <w:szCs w:val="28"/>
              </w:rPr>
              <w:t>扰乱车站、港口、码头、机场、商场、公园、展览馆或者其他公共场所秩序的</w:t>
            </w:r>
            <w:r>
              <w:rPr>
                <w:rFonts w:ascii="仿宋_GB2312" w:eastAsia="仿宋_GB2312" w:cs="仿宋_GB2312" w:hAnsi="仿宋_GB2312" w:hint="eastAsia"/>
                <w:color w:val="000000"/>
                <w:sz w:val="28"/>
                <w:szCs w:val="28"/>
                <w:lang w:eastAsia="zh-CN"/>
              </w:rPr>
              <w:t>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kern w:val="2"/>
                <w:sz w:val="28"/>
                <w:szCs w:val="28"/>
                <w:lang w:val="en-US" w:eastAsia="zh-CN" w:bidi="ar-SA"/>
              </w:rPr>
            </w:pPr>
            <w:r>
              <w:rPr>
                <w:rFonts w:ascii="仿宋_GB2312" w:eastAsia="仿宋_GB2312" w:cs="仿宋_GB2312" w:hAnsi="仿宋_GB2312" w:hint="eastAsia"/>
                <w:color w:val="000000"/>
                <w:sz w:val="28"/>
                <w:szCs w:val="28"/>
              </w:rPr>
              <w:t>公安部门</w:t>
            </w:r>
          </w:p>
        </w:tc>
        <w:tc>
          <w:tcPr>
            <w:tcW w:w="5181" w:type="dxa"/>
          </w:tcPr>
          <w:p>
            <w:pPr>
              <w:spacing w:line="340" w:lineRule="exact"/>
              <w:rPr>
                <w:rFonts w:ascii="仿宋_GB2312" w:eastAsia="仿宋_GB2312" w:cs="仿宋_GB2312" w:hAnsi="仿宋_GB2312" w:hint="eastAsia"/>
                <w:color w:val="000000"/>
                <w:kern w:val="2"/>
                <w:sz w:val="28"/>
                <w:szCs w:val="28"/>
                <w:lang w:val="en-US" w:eastAsia="zh-CN" w:bidi="ar-SA"/>
              </w:rPr>
            </w:pPr>
            <w:r>
              <w:rPr>
                <w:rFonts w:ascii="仿宋_GB2312" w:eastAsia="仿宋_GB2312" w:cs="仿宋_GB2312" w:hAnsi="仿宋_GB2312" w:hint="eastAsia"/>
                <w:b w:val="0"/>
                <w:bCs w:val="0"/>
                <w:color w:val="000000"/>
                <w:kern w:val="2"/>
                <w:sz w:val="28"/>
                <w:szCs w:val="28"/>
                <w:lang w:val="en-US" w:eastAsia="zh-CN" w:bidi="ar-SA"/>
              </w:rPr>
              <w:t>《中华人民共和国治安管理处罚法》第二十六条</w:t>
            </w:r>
          </w:p>
        </w:tc>
      </w:tr>
      <w:tr>
        <w:trPr>
          <w:trHeight w:val="697"/>
        </w:trPr>
        <w:tc>
          <w:tcPr>
            <w:tcW w:w="811" w:type="dxa"/>
            <w:vAlign w:val="center"/>
          </w:tcPr>
          <w:p>
            <w:pPr>
              <w:spacing w:line="340" w:lineRule="exact"/>
              <w:jc w:val="center"/>
              <w:rPr>
                <w:rFonts w:ascii="仿宋_GB2312" w:eastAsia="仿宋_GB2312" w:cs="仿宋_GB2312" w:hAnsi="仿宋_GB2312" w:hint="eastAsia"/>
                <w:color w:val="000000"/>
                <w:sz w:val="28"/>
                <w:szCs w:val="28"/>
                <w:lang w:eastAsia="zh-CN"/>
              </w:rPr>
            </w:pPr>
            <w:r>
              <w:rPr>
                <w:rFonts w:ascii="仿宋_GB2312" w:eastAsia="仿宋_GB2312" w:cs="仿宋_GB2312" w:hAnsi="仿宋_GB2312" w:hint="eastAsia"/>
                <w:color w:val="000000"/>
                <w:sz w:val="28"/>
                <w:szCs w:val="28"/>
                <w:lang w:val="en-US" w:eastAsia="zh-CN"/>
              </w:rPr>
              <w:t>108</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w:t>
            </w:r>
            <w:r>
              <w:rPr>
                <w:rFonts w:ascii="仿宋_GB2312" w:eastAsia="仿宋_GB2312" w:cs="仿宋_GB2312" w:hAnsi="仿宋_GB2312" w:hint="eastAsia"/>
                <w:color w:val="000000"/>
                <w:sz w:val="28"/>
                <w:szCs w:val="28"/>
                <w:lang w:val="zh-CN"/>
              </w:rPr>
              <w:t>未取得食品生产经营许可从事食品生产经营活动，</w:t>
            </w:r>
            <w:r>
              <w:rPr>
                <w:rFonts w:ascii="仿宋_GB2312" w:eastAsia="仿宋_GB2312" w:cs="仿宋_GB2312" w:hAnsi="仿宋_GB2312" w:hint="eastAsia"/>
                <w:color w:val="000000"/>
                <w:sz w:val="28"/>
                <w:szCs w:val="28"/>
                <w:lang w:val="zh-CN" w:eastAsia="zh-CN"/>
              </w:rPr>
              <w:t>或者未取得食品添加剂生产许可从事食品添加剂生产活动的</w:t>
            </w:r>
            <w:r>
              <w:rPr>
                <w:rFonts w:ascii="仿宋_GB2312" w:eastAsia="仿宋_GB2312" w:cs="仿宋_GB2312" w:hAnsi="仿宋_GB2312" w:hint="eastAsia"/>
                <w:color w:val="000000"/>
                <w:sz w:val="28"/>
                <w:szCs w:val="28"/>
              </w:rPr>
              <w:t>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市场监督管理部门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《中华人民共和国食品安全法》</w:t>
            </w:r>
            <w:r>
              <w:rPr>
                <w:rFonts w:ascii="仿宋_GB2312" w:eastAsia="仿宋_GB2312" w:cs="仿宋_GB2312" w:hAnsi="仿宋_GB2312" w:hint="eastAsia"/>
                <w:color w:val="000000"/>
                <w:sz w:val="28"/>
                <w:szCs w:val="28"/>
                <w:lang w:eastAsia="zh-CN"/>
              </w:rPr>
              <w:t>第</w:t>
            </w:r>
            <w:r>
              <w:rPr>
                <w:rFonts w:ascii="仿宋_GB2312" w:eastAsia="仿宋_GB2312" w:cs="仿宋_GB2312" w:hAnsi="仿宋_GB2312" w:hint="eastAsia"/>
                <w:color w:val="000000"/>
                <w:sz w:val="28"/>
                <w:szCs w:val="28"/>
              </w:rPr>
              <w:t>一百二十二条</w:t>
            </w:r>
          </w:p>
        </w:tc>
      </w:tr>
      <w:tr>
        <w:trPr>
          <w:trHeight w:val="697"/>
        </w:trP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109</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对物业服务企业未在物业管理区域内显著位置公示服务内容、服务标准、收费项目、收费标准、物业费和经营设施收益收支情况、公共水电费分摊情况或者公示失实信息的处罚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市场监督管理部门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《江苏省物业管理条例》第八十六条</w:t>
            </w:r>
          </w:p>
        </w:tc>
      </w:tr>
      <w:tr>
        <w:tc>
          <w:tcPr>
            <w:tcW w:w="811" w:type="dxa"/>
            <w:vAlign w:val="center"/>
          </w:tcPr>
          <w:p>
            <w:pPr>
              <w:spacing w:line="340" w:lineRule="exact"/>
              <w:jc w:val="center"/>
              <w:rPr>
                <w:rFonts w:ascii="仿宋_GB2312" w:eastAsia="仿宋_GB2312" w:cs="仿宋_GB2312" w:hAnsi="仿宋_GB2312" w:hint="eastAsia"/>
                <w:color w:val="000000"/>
                <w:sz w:val="28"/>
                <w:szCs w:val="28"/>
                <w:lang w:val="en-US" w:eastAsia="zh-CN"/>
              </w:rPr>
            </w:pPr>
            <w:r>
              <w:rPr>
                <w:rFonts w:ascii="仿宋_GB2312" w:eastAsia="仿宋_GB2312" w:cs="仿宋_GB2312" w:hAnsi="仿宋_GB2312" w:hint="eastAsia"/>
                <w:color w:val="000000"/>
                <w:sz w:val="28"/>
                <w:szCs w:val="28"/>
                <w:lang w:val="en-US" w:eastAsia="zh-CN"/>
              </w:rPr>
              <w:t>110</w:t>
            </w:r>
          </w:p>
        </w:tc>
        <w:tc>
          <w:tcPr>
            <w:tcW w:w="5533" w:type="dxa"/>
            <w:tcBorders>
              <w:top w:val="single" w:sz="4" w:space="0" w:color="auto"/>
              <w:left w:val="single" w:sz="4" w:space="0" w:color="auto"/>
              <w:right w:val="single" w:sz="4" w:space="0" w:color="auto"/>
            </w:tcBorders>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对将平时用作停车位的人民防空工程不向业主开放、出租停车位的租赁期限超过三年或者将停车位出售、附赠的处罚</w:t>
            </w:r>
          </w:p>
        </w:tc>
        <w:tc>
          <w:tcPr>
            <w:tcW w:w="2482" w:type="dxa"/>
            <w:tcBorders>
              <w:top w:val="single" w:sz="4" w:space="0" w:color="auto"/>
              <w:left w:val="single" w:sz="4" w:space="0" w:color="auto"/>
              <w:right w:val="single" w:sz="4" w:space="0" w:color="auto"/>
            </w:tcBorders>
          </w:tcPr>
          <w:p>
            <w:pPr>
              <w:spacing w:line="340" w:lineRule="exact"/>
              <w:jc w:val="center"/>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人防部门</w:t>
            </w:r>
          </w:p>
        </w:tc>
        <w:tc>
          <w:tcPr>
            <w:tcW w:w="5181" w:type="dxa"/>
          </w:tcPr>
          <w:p>
            <w:pPr>
              <w:spacing w:line="340" w:lineRule="exact"/>
              <w:rPr>
                <w:rFonts w:ascii="仿宋_GB2312" w:eastAsia="仿宋_GB2312" w:cs="仿宋_GB2312" w:hAnsi="仿宋_GB2312" w:hint="eastAsia"/>
                <w:color w:val="000000"/>
                <w:sz w:val="28"/>
                <w:szCs w:val="28"/>
              </w:rPr>
            </w:pPr>
            <w:r>
              <w:rPr>
                <w:rFonts w:ascii="仿宋_GB2312" w:eastAsia="仿宋_GB2312" w:cs="仿宋_GB2312" w:hAnsi="仿宋_GB2312" w:hint="eastAsia"/>
                <w:color w:val="000000"/>
                <w:sz w:val="28"/>
                <w:szCs w:val="28"/>
              </w:rPr>
              <w:t>《江苏省物业管理条例》第九十条</w:t>
            </w:r>
          </w:p>
        </w:tc>
      </w:tr>
    </w:tbl>
    <w:p>
      <w:pPr>
        <w:spacing w:line="600" w:lineRule="exact"/>
        <w:rPr>
          <w:rFonts w:ascii="仿宋_GB2312" w:eastAsia="仿宋_GB2312" w:cs="仿宋_GB2312" w:hAnsi="仿宋_GB2312" w:hint="eastAsia"/>
          <w:b/>
          <w:bCs/>
          <w:sz w:val="32"/>
          <w:szCs w:val="32"/>
        </w:rPr>
      </w:pPr>
    </w:p>
    <w:p>
      <w:pPr>
        <w:rPr>
          <w:rFonts w:ascii="Times New Roman" w:eastAsia="宋体" w:cs="Times New Roman" w:hAnsi="Times New Roman"/>
          <w:szCs w:val="24"/>
        </w:rPr>
      </w:pPr>
    </w:p>
    <w:p>
      <w:pPr>
        <w:spacing w:line="570" w:lineRule="exact"/>
        <w:jc w:val="both"/>
        <w:rPr>
          <w:rFonts w:ascii="仿宋_GB2312" w:eastAsia="仿宋_GB2312" w:cs="Times New Roman" w:hAnsi="等线"/>
          <w:sz w:val="32"/>
          <w:szCs w:val="32"/>
        </w:rPr>
        <w:sectPr>
          <w:footerReference w:type="default" r:id="rId11"/>
          <w:pgSz w:w="16838" w:h="11906" w:orient="landscape"/>
          <w:pgMar w:top="1803" w:right="1440" w:bottom="1803" w:left="1440" w:header="851" w:footer="992" w:gutter="0"/>
          <w:pgNumType/>
          <w:cols w:num="1" w:space="0"/>
          <w:rtlGutter/>
          <w:docGrid w:type="lines" w:linePitch="319" w:charSpace="0"/>
        </w:sectPr>
      </w:pPr>
    </w:p>
    <w:p>
      <w:pPr>
        <w:spacing w:line="600" w:lineRule="exact"/>
        <w:jc w:val="center"/>
        <w:rPr>
          <w:rFonts w:ascii="方正小标宋_GBK" w:eastAsia="方正小标宋_GBK" w:cs="宋体" w:hAnsi="宋体"/>
          <w:b/>
          <w:bCs/>
          <w:sz w:val="44"/>
          <w:szCs w:val="44"/>
          <w:lang w:val="en-US" w:eastAsia="zh-CN"/>
        </w:rPr>
      </w:pPr>
      <w:r>
        <w:rPr>
          <w:rFonts w:ascii="方正小标宋_GBK" w:eastAsia="方正小标宋_GBK" w:cs="宋体" w:hAnsi="宋体" w:hint="eastAsia"/>
          <w:b/>
          <w:bCs/>
          <w:sz w:val="44"/>
          <w:szCs w:val="44"/>
          <w:lang w:val="en-US" w:eastAsia="zh-CN"/>
        </w:rPr>
        <w:t>南京</w:t>
      </w:r>
      <w:r>
        <w:rPr>
          <w:rFonts w:ascii="方正小标宋_GBK" w:eastAsia="方正小标宋_GBK" w:cs="宋体" w:hAnsi="宋体" w:hint="eastAsia"/>
          <w:b/>
          <w:bCs/>
          <w:sz w:val="44"/>
          <w:szCs w:val="44"/>
        </w:rPr>
        <w:t>市住房保障和房产局关于修改</w:t>
      </w:r>
      <w:r>
        <w:rPr>
          <w:rFonts w:ascii="方正小标宋_GBK" w:eastAsia="方正小标宋_GBK" w:cs="宋体" w:hAnsi="宋体" w:hint="eastAsia"/>
          <w:b/>
          <w:bCs/>
          <w:sz w:val="44"/>
          <w:szCs w:val="44"/>
          <w:lang w:val="en-US" w:eastAsia="zh-CN"/>
        </w:rPr>
        <w:t>和废止部分</w:t>
      </w:r>
      <w:r>
        <w:rPr>
          <w:rFonts w:ascii="方正小标宋_GBK" w:eastAsia="方正小标宋_GBK" w:cs="宋体" w:hAnsi="宋体" w:hint="eastAsia"/>
          <w:b/>
          <w:bCs/>
          <w:sz w:val="44"/>
          <w:szCs w:val="44"/>
        </w:rPr>
        <w:t>部门行政规范性文件的通知</w:t>
      </w:r>
    </w:p>
    <w:p>
      <w:pPr>
        <w:jc w:val="center"/>
        <w:rPr>
          <w:rFonts w:ascii="仿宋_GB2312" w:eastAsia="仿宋_GB2312" w:cs="仿宋_GB2312" w:hAnsi="仿宋_GB2312" w:hint="eastAsia"/>
          <w:sz w:val="32"/>
          <w:szCs w:val="32"/>
        </w:rPr>
      </w:pPr>
      <w:r>
        <w:rPr>
          <w:rFonts w:ascii="仿宋_GB2312" w:eastAsia="仿宋_GB2312" w:cs="仿宋_GB2312" w:hAnsi="仿宋_GB2312" w:hint="eastAsia"/>
          <w:sz w:val="32"/>
          <w:szCs w:val="32"/>
          <w:lang w:val="en-US" w:eastAsia="zh-CN"/>
        </w:rPr>
        <w:t>宁房规</w:t>
      </w:r>
      <w:r>
        <w:rPr>
          <w:rFonts w:ascii="仿宋_GB2312" w:eastAsia="仿宋_GB2312" w:cs="仿宋_GB2312" w:hAnsi="仿宋_GB2312" w:hint="eastAsia"/>
          <w:sz w:val="32"/>
          <w:szCs w:val="32"/>
        </w:rPr>
        <w:t>〔202</w:t>
      </w:r>
      <w:r>
        <w:rPr>
          <w:rFonts w:ascii="仿宋_GB2312" w:eastAsia="仿宋_GB2312" w:cs="仿宋_GB2312" w:hAnsi="仿宋_GB2312" w:hint="eastAsia"/>
          <w:sz w:val="32"/>
          <w:szCs w:val="32"/>
          <w:lang w:val="en-US" w:eastAsia="zh-CN"/>
        </w:rPr>
        <w:t>6</w:t>
      </w:r>
      <w:r>
        <w:rPr>
          <w:rFonts w:ascii="仿宋_GB2312" w:eastAsia="仿宋_GB2312" w:cs="仿宋_GB2312" w:hAnsi="仿宋_GB2312" w:hint="eastAsia"/>
          <w:sz w:val="32"/>
          <w:szCs w:val="32"/>
        </w:rPr>
        <w:t>〕</w:t>
      </w:r>
      <w:r>
        <w:rPr>
          <w:rFonts w:ascii="仿宋_GB2312" w:eastAsia="仿宋_GB2312" w:cs="仿宋_GB2312" w:hAnsi="仿宋_GB2312" w:hint="eastAsia"/>
          <w:sz w:val="32"/>
          <w:szCs w:val="32"/>
          <w:lang w:val="en-US" w:eastAsia="zh-CN"/>
        </w:rPr>
        <w:t>2</w:t>
      </w:r>
      <w:r>
        <w:rPr>
          <w:rFonts w:ascii="仿宋_GB2312" w:eastAsia="仿宋_GB2312" w:cs="仿宋_GB2312" w:hAnsi="仿宋_GB2312" w:hint="eastAsia"/>
          <w:sz w:val="32"/>
          <w:szCs w:val="32"/>
        </w:rPr>
        <w:t>号</w:t>
      </w:r>
    </w:p>
    <w:p>
      <w:pPr>
        <w:jc w:val="center"/>
        <w:rPr>
          <w:rFonts w:ascii="仿宋_GB2312" w:eastAsia="仿宋_GB2312" w:cs="仿宋_GB2312" w:hAnsi="仿宋_GB2312" w:hint="eastAsia"/>
          <w:sz w:val="32"/>
          <w:szCs w:val="32"/>
        </w:rPr>
      </w:pPr>
    </w:p>
    <w:p>
      <w:pPr>
        <w:rPr>
          <w:rFonts w:ascii="仿宋_GB2312" w:eastAsia="仿宋_GB2312" w:cs="仿宋_GB2312" w:hAnsi="仿宋_GB2312" w:hint="eastAsia"/>
          <w:sz w:val="32"/>
          <w:szCs w:val="32"/>
        </w:rPr>
      </w:pPr>
      <w:r>
        <w:rPr>
          <w:rFonts w:ascii="仿宋_GB2312" w:eastAsia="仿宋_GB2312" w:cs="仿宋_GB2312" w:hAnsi="仿宋_GB2312" w:hint="eastAsia"/>
          <w:sz w:val="32"/>
          <w:szCs w:val="32"/>
        </w:rPr>
        <w:t>各有关单位：</w:t>
      </w:r>
    </w:p>
    <w:p>
      <w:pPr>
        <w:ind w:firstLineChars="200" w:firstLine="640"/>
        <w:rPr>
          <w:rFonts w:ascii="仿宋_GB2312" w:eastAsia="仿宋_GB2312" w:cs="仿宋_GB2312" w:hAnsi="仿宋_GB2312" w:hint="eastAsia"/>
          <w:sz w:val="32"/>
          <w:szCs w:val="32"/>
        </w:rPr>
      </w:pPr>
      <w:r>
        <w:rPr>
          <w:rFonts w:ascii="仿宋_GB2312" w:eastAsia="仿宋_GB2312" w:cs="仿宋_GB2312" w:hAnsi="仿宋_GB2312" w:hint="eastAsia"/>
          <w:sz w:val="32"/>
          <w:szCs w:val="32"/>
        </w:rPr>
        <w:t>为贯彻落实</w:t>
      </w:r>
      <w:r>
        <w:rPr>
          <w:rFonts w:ascii="仿宋_GB2312" w:eastAsia="仿宋_GB2312" w:cs="仿宋_GB2312" w:hAnsi="仿宋_GB2312" w:hint="eastAsia"/>
          <w:sz w:val="32"/>
          <w:szCs w:val="32"/>
          <w:lang w:val="en-US" w:eastAsia="zh-CN"/>
        </w:rPr>
        <w:t>国务院办公厅《关于建立企业信用状况综合评价体系的实施方案》（国办发〔2026〕8号）精神，根据</w:t>
      </w:r>
      <w:r>
        <w:rPr>
          <w:rFonts w:ascii="仿宋_GB2312" w:eastAsia="仿宋_GB2312" w:cs="仿宋_GB2312" w:hAnsi="仿宋_GB2312" w:hint="eastAsia"/>
          <w:sz w:val="32"/>
          <w:szCs w:val="32"/>
        </w:rPr>
        <w:t>《江苏省行政规范性文件管理规定》，结合工作实际，我局决定对《南京市房屋白蚁防治单位名录管理办法》</w:t>
      </w:r>
      <w:r>
        <w:rPr>
          <w:rFonts w:ascii="仿宋_GB2312" w:eastAsia="仿宋_GB2312" w:cs="仿宋_GB2312" w:hAnsi="仿宋_GB2312" w:hint="eastAsia"/>
          <w:sz w:val="32"/>
          <w:szCs w:val="32"/>
          <w:lang w:val="en-US" w:eastAsia="zh-CN"/>
        </w:rPr>
        <w:t>等4件</w:t>
      </w:r>
      <w:r>
        <w:rPr>
          <w:rFonts w:ascii="仿宋_GB2312" w:eastAsia="仿宋_GB2312" w:cs="仿宋_GB2312" w:hAnsi="仿宋_GB2312" w:hint="eastAsia"/>
          <w:sz w:val="32"/>
          <w:szCs w:val="32"/>
        </w:rPr>
        <w:t>部</w:t>
      </w:r>
      <w:r>
        <w:rPr>
          <w:rFonts w:ascii="仿宋_GB2312" w:eastAsia="仿宋_GB2312" w:cs="仿宋_GB2312" w:hAnsi="仿宋_GB2312" w:hint="eastAsia"/>
          <w:sz w:val="32"/>
          <w:szCs w:val="32"/>
          <w:lang w:val="en-US" w:eastAsia="zh-CN"/>
        </w:rPr>
        <w:t>门</w:t>
      </w:r>
      <w:r>
        <w:rPr>
          <w:rFonts w:ascii="仿宋_GB2312" w:eastAsia="仿宋_GB2312" w:cs="仿宋_GB2312" w:hAnsi="仿宋_GB2312" w:hint="eastAsia"/>
          <w:sz w:val="32"/>
          <w:szCs w:val="32"/>
        </w:rPr>
        <w:t>行政规范性文件分别予以修改、废止：</w:t>
      </w:r>
    </w:p>
    <w:p>
      <w:pPr>
        <w:ind w:firstLineChars="200" w:firstLine="640"/>
        <w:rPr>
          <w:rFonts w:ascii="黑体" w:eastAsia="黑体" w:cs="黑体" w:hAnsi="黑体" w:hint="eastAsia"/>
          <w:sz w:val="32"/>
          <w:szCs w:val="32"/>
          <w:lang w:val="en-US" w:eastAsia="zh-CN"/>
        </w:rPr>
      </w:pPr>
      <w:r>
        <w:rPr>
          <w:rFonts w:ascii="黑体" w:eastAsia="黑体" w:cs="黑体" w:hAnsi="黑体" w:hint="eastAsia"/>
          <w:sz w:val="32"/>
          <w:szCs w:val="32"/>
        </w:rPr>
        <w:t>一、对</w:t>
      </w:r>
      <w:r>
        <w:rPr>
          <w:rFonts w:ascii="黑体" w:eastAsia="黑体" w:cs="黑体" w:hAnsi="黑体" w:hint="eastAsia"/>
          <w:sz w:val="32"/>
          <w:szCs w:val="32"/>
          <w:lang w:val="en-US" w:eastAsia="zh-CN"/>
        </w:rPr>
        <w:t>下列部门行政规范性文件作出修改（共2件）</w:t>
      </w:r>
    </w:p>
    <w:p>
      <w:pPr>
        <w:ind w:firstLineChars="200" w:firstLine="640"/>
        <w:rPr>
          <w:rFonts w:ascii="仿宋_GB2312" w:eastAsia="仿宋_GB2312" w:cs="仿宋_GB2312" w:hAnsi="仿宋_GB2312" w:hint="eastAsia"/>
          <w:b w:val="0"/>
          <w:bCs w:val="0"/>
          <w:sz w:val="32"/>
          <w:szCs w:val="32"/>
          <w:lang w:val="en-US" w:eastAsia="zh-CN"/>
        </w:rPr>
      </w:pPr>
      <w:r>
        <w:rPr>
          <w:rFonts w:ascii="仿宋_GB2312" w:eastAsia="仿宋_GB2312" w:cs="仿宋_GB2312" w:hAnsi="仿宋_GB2312" w:hint="eastAsia"/>
          <w:b w:val="0"/>
          <w:bCs w:val="0"/>
          <w:sz w:val="32"/>
          <w:szCs w:val="32"/>
        </w:rPr>
        <w:t>（一）</w:t>
      </w:r>
      <w:r>
        <w:rPr>
          <w:rFonts w:ascii="仿宋_GB2312" w:eastAsia="仿宋_GB2312" w:cs="仿宋_GB2312" w:hAnsi="仿宋_GB2312" w:hint="eastAsia"/>
          <w:b w:val="0"/>
          <w:bCs w:val="0"/>
          <w:sz w:val="32"/>
          <w:szCs w:val="32"/>
          <w:lang w:val="en-US" w:eastAsia="zh-CN"/>
        </w:rPr>
        <w:t>对《</w:t>
      </w:r>
      <w:r>
        <w:rPr>
          <w:rFonts w:ascii="仿宋_GB2312" w:eastAsia="仿宋_GB2312" w:cs="仿宋_GB2312" w:hAnsi="仿宋_GB2312" w:hint="eastAsia"/>
          <w:b w:val="0"/>
          <w:bCs w:val="0"/>
          <w:sz w:val="32"/>
          <w:szCs w:val="32"/>
        </w:rPr>
        <w:t>关于印发</w:t>
      </w:r>
      <w:r>
        <w:rPr>
          <w:rFonts w:ascii="仿宋_GB2312" w:eastAsia="仿宋_GB2312" w:cs="仿宋_GB2312" w:hAnsi="仿宋_GB2312" w:hint="eastAsia"/>
          <w:b w:val="0"/>
          <w:bCs w:val="0"/>
          <w:sz w:val="32"/>
          <w:szCs w:val="32"/>
          <w:lang w:val="en-US" w:eastAsia="zh-CN"/>
        </w:rPr>
        <w:t>&lt;</w:t>
      </w:r>
      <w:r>
        <w:rPr>
          <w:rFonts w:ascii="仿宋_GB2312" w:eastAsia="仿宋_GB2312" w:cs="仿宋_GB2312" w:hAnsi="仿宋_GB2312" w:hint="eastAsia"/>
          <w:b w:val="0"/>
          <w:bCs w:val="0"/>
          <w:sz w:val="32"/>
          <w:szCs w:val="32"/>
        </w:rPr>
        <w:t>南京市房屋白蚁防治单位名录管理办法</w:t>
      </w:r>
      <w:r>
        <w:rPr>
          <w:rFonts w:ascii="仿宋_GB2312" w:eastAsia="仿宋_GB2312" w:cs="仿宋_GB2312" w:hAnsi="仿宋_GB2312" w:hint="eastAsia"/>
          <w:b w:val="0"/>
          <w:bCs w:val="0"/>
          <w:sz w:val="32"/>
          <w:szCs w:val="32"/>
          <w:lang w:val="en-US" w:eastAsia="zh-CN"/>
        </w:rPr>
        <w:t>&gt;</w:t>
      </w:r>
      <w:r>
        <w:rPr>
          <w:rFonts w:ascii="仿宋_GB2312" w:eastAsia="仿宋_GB2312" w:cs="仿宋_GB2312" w:hAnsi="仿宋_GB2312" w:hint="eastAsia"/>
          <w:b w:val="0"/>
          <w:bCs w:val="0"/>
          <w:sz w:val="32"/>
          <w:szCs w:val="32"/>
        </w:rPr>
        <w:t>的通知</w:t>
      </w:r>
      <w:r>
        <w:rPr>
          <w:rFonts w:ascii="仿宋_GB2312" w:eastAsia="仿宋_GB2312" w:cs="仿宋_GB2312" w:hAnsi="仿宋_GB2312" w:hint="eastAsia"/>
          <w:b w:val="0"/>
          <w:bCs w:val="0"/>
          <w:sz w:val="32"/>
          <w:szCs w:val="32"/>
          <w:lang w:eastAsia="zh-CN"/>
        </w:rPr>
        <w:t>》（</w:t>
      </w:r>
      <w:r>
        <w:rPr>
          <w:rFonts w:ascii="仿宋_GB2312" w:eastAsia="仿宋_GB2312" w:cs="仿宋_GB2312" w:hAnsi="仿宋_GB2312" w:hint="eastAsia"/>
          <w:b w:val="0"/>
          <w:bCs w:val="0"/>
          <w:sz w:val="32"/>
          <w:szCs w:val="32"/>
        </w:rPr>
        <w:t>宁房规字〔2018〕1号</w:t>
      </w:r>
      <w:r>
        <w:rPr>
          <w:rFonts w:ascii="仿宋_GB2312" w:eastAsia="仿宋_GB2312" w:cs="仿宋_GB2312" w:hAnsi="仿宋_GB2312" w:hint="eastAsia"/>
          <w:b w:val="0"/>
          <w:bCs w:val="0"/>
          <w:sz w:val="32"/>
          <w:szCs w:val="32"/>
          <w:lang w:eastAsia="zh-CN"/>
        </w:rPr>
        <w:t>）</w:t>
      </w:r>
      <w:r>
        <w:rPr>
          <w:rFonts w:ascii="仿宋_GB2312" w:eastAsia="仿宋_GB2312" w:cs="仿宋_GB2312" w:hAnsi="仿宋_GB2312" w:hint="eastAsia"/>
          <w:b w:val="0"/>
          <w:bCs w:val="0"/>
          <w:sz w:val="32"/>
          <w:szCs w:val="32"/>
          <w:lang w:val="en-US" w:eastAsia="zh-CN"/>
        </w:rPr>
        <w:t>作如下修改：</w:t>
      </w:r>
    </w:p>
    <w:p>
      <w:pPr>
        <w:ind w:firstLineChars="200" w:firstLine="640"/>
        <w:rPr>
          <w:rFonts w:ascii="仿宋_GB2312" w:eastAsia="仿宋_GB2312" w:cs="仿宋_GB2312" w:hAnsi="仿宋_GB2312" w:hint="eastAsia"/>
          <w:sz w:val="32"/>
          <w:szCs w:val="32"/>
          <w:lang w:val="en-US" w:eastAsia="zh-CN"/>
        </w:rPr>
      </w:pPr>
      <w:r>
        <w:rPr>
          <w:rFonts w:ascii="仿宋_GB2312" w:eastAsia="仿宋_GB2312" w:cs="仿宋_GB2312" w:hAnsi="仿宋_GB2312" w:hint="eastAsia"/>
          <w:sz w:val="32"/>
          <w:szCs w:val="32"/>
          <w:lang w:val="en-US" w:eastAsia="zh-CN"/>
        </w:rPr>
        <w:t>1.将第十二条修改为“发布的名录库信息包含防治单位的名称、法人代表、地址、联系方式、房屋白蚁防治服务公开承诺书和信用等信息。”</w:t>
      </w:r>
    </w:p>
    <w:p>
      <w:pPr>
        <w:ind w:firstLineChars="200" w:firstLine="640"/>
        <w:rPr>
          <w:rFonts w:ascii="仿宋_GB2312" w:eastAsia="仿宋_GB2312" w:cs="仿宋_GB2312" w:hAnsi="仿宋_GB2312" w:hint="eastAsia"/>
          <w:sz w:val="32"/>
          <w:szCs w:val="32"/>
          <w:lang w:val="en-US" w:eastAsia="zh-CN"/>
        </w:rPr>
      </w:pPr>
      <w:r>
        <w:rPr>
          <w:rFonts w:ascii="仿宋_GB2312" w:eastAsia="仿宋_GB2312" w:cs="仿宋_GB2312" w:hAnsi="仿宋_GB2312" w:hint="eastAsia"/>
          <w:sz w:val="32"/>
          <w:szCs w:val="32"/>
          <w:lang w:val="en-US" w:eastAsia="zh-CN"/>
        </w:rPr>
        <w:t>2.将第十三条修改为“市住房保障和房产局应当建立名录库信息与防治企业信用信息联动更新机制。防治企业信用信息发生变化的，市白蚁防治服务中心应当于5个工作日内更新名录库。”</w:t>
      </w:r>
    </w:p>
    <w:p>
      <w:pPr>
        <w:ind w:firstLineChars="200" w:firstLine="640"/>
        <w:rPr>
          <w:rFonts w:ascii="仿宋_GB2312" w:eastAsia="仿宋_GB2312" w:cs="仿宋_GB2312" w:hAnsi="仿宋_GB2312" w:hint="eastAsia"/>
          <w:sz w:val="32"/>
          <w:szCs w:val="32"/>
          <w:lang w:val="en-US" w:eastAsia="zh-CN"/>
        </w:rPr>
      </w:pPr>
      <w:r>
        <w:rPr>
          <w:rFonts w:ascii="仿宋_GB2312" w:eastAsia="仿宋_GB2312" w:cs="仿宋_GB2312" w:hAnsi="仿宋_GB2312" w:hint="eastAsia"/>
          <w:sz w:val="32"/>
          <w:szCs w:val="32"/>
          <w:lang w:val="en-US" w:eastAsia="zh-CN"/>
        </w:rPr>
        <w:t>（二）对《关于印发&lt;南京市房屋安全鉴定单位管理办法&gt;的通知》（宁房规字〔2018〕3号）作如下修改：</w:t>
      </w:r>
    </w:p>
    <w:p>
      <w:pPr>
        <w:ind w:firstLineChars="200" w:firstLine="640"/>
        <w:rPr>
          <w:rFonts w:ascii="仿宋_GB2312" w:eastAsia="仿宋_GB2312" w:cs="仿宋_GB2312" w:hAnsi="仿宋_GB2312" w:hint="eastAsia"/>
          <w:sz w:val="32"/>
          <w:szCs w:val="32"/>
          <w:lang w:val="en-US" w:eastAsia="zh-CN"/>
        </w:rPr>
      </w:pPr>
      <w:r>
        <w:rPr>
          <w:rFonts w:ascii="仿宋_GB2312" w:eastAsia="仿宋_GB2312" w:cs="仿宋_GB2312" w:hAnsi="仿宋_GB2312" w:hint="eastAsia"/>
          <w:sz w:val="32"/>
          <w:szCs w:val="32"/>
          <w:lang w:val="en-US" w:eastAsia="zh-CN"/>
        </w:rPr>
        <w:t>1.将第十条修改为“市房屋安全行政主管部门对已备案的鉴定单位纳入房屋安全鉴定单位名录库，实行动态管理，及时更新向社会公开。”</w:t>
      </w:r>
    </w:p>
    <w:p>
      <w:pPr>
        <w:ind w:firstLineChars="200" w:firstLine="640"/>
        <w:rPr>
          <w:rFonts w:ascii="仿宋_GB2312" w:eastAsia="仿宋_GB2312" w:cs="仿宋_GB2312" w:hAnsi="仿宋_GB2312" w:hint="eastAsia"/>
          <w:sz w:val="32"/>
          <w:szCs w:val="32"/>
          <w:lang w:val="en-US" w:eastAsia="zh-CN"/>
        </w:rPr>
      </w:pPr>
      <w:r>
        <w:rPr>
          <w:rFonts w:ascii="仿宋_GB2312" w:eastAsia="仿宋_GB2312" w:cs="仿宋_GB2312" w:hAnsi="仿宋_GB2312" w:hint="eastAsia"/>
          <w:sz w:val="32"/>
          <w:szCs w:val="32"/>
          <w:lang w:val="en-US" w:eastAsia="zh-CN"/>
        </w:rPr>
        <w:t>2.删除第十一条。</w:t>
      </w:r>
    </w:p>
    <w:p>
      <w:pPr>
        <w:ind w:firstLineChars="200" w:firstLine="640"/>
        <w:rPr>
          <w:rFonts w:ascii="仿宋_GB2312" w:eastAsia="仿宋_GB2312" w:cs="仿宋_GB2312" w:hAnsi="仿宋_GB2312" w:hint="eastAsia"/>
          <w:sz w:val="32"/>
          <w:szCs w:val="32"/>
          <w:lang w:val="en-US" w:eastAsia="zh-CN"/>
        </w:rPr>
      </w:pPr>
      <w:r>
        <w:rPr>
          <w:rFonts w:ascii="仿宋_GB2312" w:eastAsia="仿宋_GB2312" w:cs="仿宋_GB2312" w:hAnsi="仿宋_GB2312" w:hint="eastAsia"/>
          <w:sz w:val="32"/>
          <w:szCs w:val="32"/>
          <w:lang w:val="en-US" w:eastAsia="zh-CN"/>
        </w:rPr>
        <w:t>3.删除第五章。</w:t>
      </w:r>
    </w:p>
    <w:p>
      <w:pPr>
        <w:ind w:firstLineChars="200" w:firstLine="640"/>
        <w:rPr>
          <w:rFonts w:ascii="仿宋_GB2312" w:eastAsia="仿宋_GB2312" w:cs="仿宋_GB2312" w:hAnsi="仿宋_GB2312" w:hint="eastAsia"/>
          <w:sz w:val="32"/>
          <w:szCs w:val="32"/>
          <w:lang w:val="en-US" w:eastAsia="zh-CN"/>
        </w:rPr>
      </w:pPr>
      <w:r>
        <w:rPr>
          <w:rFonts w:ascii="仿宋_GB2312" w:eastAsia="仿宋_GB2312" w:cs="仿宋_GB2312" w:hAnsi="仿宋_GB2312" w:hint="eastAsia"/>
          <w:sz w:val="32"/>
          <w:szCs w:val="32"/>
          <w:lang w:val="en-US" w:eastAsia="zh-CN"/>
        </w:rPr>
        <w:t>对上述涉及条款删减的条文顺序作相应调整。</w:t>
      </w:r>
    </w:p>
    <w:p>
      <w:pPr>
        <w:ind w:firstLineChars="200" w:firstLine="640"/>
        <w:rPr>
          <w:rFonts w:ascii="黑体" w:eastAsia="黑体" w:cs="黑体" w:hAnsi="黑体" w:hint="eastAsia"/>
          <w:sz w:val="32"/>
          <w:szCs w:val="32"/>
          <w:lang w:val="en-US" w:eastAsia="zh-CN"/>
        </w:rPr>
      </w:pPr>
      <w:r>
        <w:rPr>
          <w:rFonts w:ascii="黑体" w:eastAsia="黑体" w:cs="黑体" w:hAnsi="黑体" w:hint="eastAsia"/>
          <w:sz w:val="32"/>
          <w:szCs w:val="32"/>
          <w:lang w:val="en-US" w:eastAsia="zh-CN"/>
        </w:rPr>
        <w:t>二、对下列部门行政规范性文件予以废止（共2件）</w:t>
      </w:r>
    </w:p>
    <w:p>
      <w:pPr>
        <w:ind w:firstLineChars="200" w:firstLine="640"/>
        <w:rPr>
          <w:rFonts w:ascii="仿宋_GB2312" w:eastAsia="仿宋_GB2312" w:cs="仿宋_GB2312" w:hAnsi="仿宋_GB2312" w:hint="eastAsia"/>
          <w:sz w:val="32"/>
          <w:szCs w:val="32"/>
          <w:lang w:val="en-US" w:eastAsia="zh-CN"/>
        </w:rPr>
      </w:pPr>
      <w:r>
        <w:rPr>
          <w:rFonts w:ascii="仿宋_GB2312" w:eastAsia="仿宋_GB2312" w:cs="仿宋_GB2312" w:hAnsi="仿宋_GB2312" w:hint="eastAsia"/>
          <w:sz w:val="32"/>
          <w:szCs w:val="32"/>
          <w:lang w:val="en-US" w:eastAsia="zh-CN"/>
        </w:rPr>
        <w:t>（一）关于印发《南京市物业服务企业及项目负责人星级信息管理办法》的通知（宁房规字〔2016〕4号）</w:t>
      </w:r>
    </w:p>
    <w:p>
      <w:pPr>
        <w:ind w:firstLineChars="200" w:firstLine="640"/>
        <w:rPr>
          <w:rFonts w:ascii="仿宋_GB2312" w:eastAsia="仿宋_GB2312" w:cs="仿宋_GB2312" w:hAnsi="仿宋_GB2312" w:hint="eastAsia"/>
          <w:sz w:val="32"/>
          <w:szCs w:val="32"/>
          <w:lang w:val="en-US" w:eastAsia="zh-CN"/>
        </w:rPr>
      </w:pPr>
      <w:r>
        <w:rPr>
          <w:rFonts w:ascii="仿宋_GB2312" w:eastAsia="仿宋_GB2312" w:cs="仿宋_GB2312" w:hAnsi="仿宋_GB2312" w:hint="eastAsia"/>
          <w:sz w:val="32"/>
          <w:szCs w:val="32"/>
          <w:lang w:val="en-US" w:eastAsia="zh-CN"/>
        </w:rPr>
        <w:t>（二）关于印发《南京市房屋白蚁防治企业星级管理办法》的通知（宁房规字〔2018〕2号）</w:t>
      </w:r>
    </w:p>
    <w:p>
      <w:pPr>
        <w:ind w:firstLineChars="200" w:firstLine="640"/>
        <w:rPr>
          <w:rFonts w:ascii="仿宋_GB2312" w:eastAsia="仿宋_GB2312" w:cs="仿宋_GB2312" w:hAnsi="仿宋_GB2312" w:hint="eastAsia"/>
          <w:sz w:val="32"/>
          <w:szCs w:val="32"/>
        </w:rPr>
      </w:pPr>
      <w:r>
        <w:rPr>
          <w:rFonts w:ascii="仿宋_GB2312" w:eastAsia="仿宋_GB2312" w:cs="仿宋_GB2312" w:hAnsi="仿宋_GB2312" w:hint="eastAsia"/>
          <w:sz w:val="32"/>
          <w:szCs w:val="32"/>
        </w:rPr>
        <w:t>本通知自印发之日起施行。</w:t>
      </w:r>
    </w:p>
    <w:p>
      <w:pPr>
        <w:rPr>
          <w:rFonts w:ascii="仿宋_GB2312" w:eastAsia="仿宋_GB2312" w:cs="仿宋_GB2312" w:hAnsi="仿宋_GB2312" w:hint="eastAsia"/>
          <w:sz w:val="32"/>
          <w:szCs w:val="32"/>
        </w:rPr>
      </w:pPr>
    </w:p>
    <w:p>
      <w:pPr>
        <w:ind w:left="960" w:hangingChars="300" w:hanging="960"/>
        <w:rPr>
          <w:rStyle w:val="38"/>
          <w:rFonts w:ascii="仿宋_GB2312" w:eastAsia="仿宋_GB2312" w:cs="仿宋_GB2312" w:hAnsi="仿宋_GB2312" w:hint="eastAsia"/>
          <w:sz w:val="32"/>
          <w:szCs w:val="32"/>
        </w:rPr>
      </w:pPr>
    </w:p>
    <w:p>
      <w:pPr>
        <w:ind w:left="960" w:hangingChars="300" w:hanging="960"/>
        <w:rPr>
          <w:rFonts w:ascii="仿宋_GB2312" w:eastAsia="仿宋_GB2312" w:cs="仿宋_GB2312" w:hAnsi="仿宋_GB2312" w:hint="eastAsia"/>
          <w:sz w:val="32"/>
          <w:szCs w:val="32"/>
        </w:rPr>
      </w:pPr>
    </w:p>
    <w:p>
      <w:pPr>
        <w:ind w:firstLineChars="1300" w:firstLine="4160"/>
        <w:rPr>
          <w:rFonts w:ascii="仿宋_GB2312" w:eastAsia="仿宋_GB2312" w:cs="仿宋_GB2312" w:hAnsi="仿宋_GB2312" w:hint="eastAsia"/>
          <w:sz w:val="32"/>
          <w:szCs w:val="32"/>
        </w:rPr>
      </w:pPr>
      <w:r>
        <w:rPr>
          <w:rFonts w:ascii="仿宋_GB2312" w:eastAsia="仿宋_GB2312" w:cs="仿宋_GB2312" w:hAnsi="仿宋_GB2312" w:hint="eastAsia"/>
          <w:sz w:val="32"/>
          <w:szCs w:val="32"/>
        </w:rPr>
        <w:t>南京市住房保障和房产局</w:t>
      </w:r>
    </w:p>
    <w:p>
      <w:pPr>
        <w:ind w:firstLineChars="1500" w:firstLine="4800"/>
        <w:rPr>
          <w:rFonts w:ascii="Times New Roman" w:eastAsia="黑体" w:hAnsi="Times New Roman"/>
          <w:color w:val="333333"/>
          <w:sz w:val="32"/>
          <w:szCs w:val="32"/>
          <w:shd w:val="clear" w:color="auto" w:fill="FFFFFF"/>
        </w:rPr>
      </w:pPr>
      <w:r>
        <w:rPr>
          <w:rFonts w:ascii="仿宋_GB2312" w:eastAsia="仿宋_GB2312" w:cs="仿宋_GB2312" w:hAnsi="仿宋_GB2312" w:hint="eastAsia"/>
          <w:sz w:val="32"/>
          <w:szCs w:val="32"/>
        </w:rPr>
        <w:t>202</w:t>
      </w:r>
      <w:r>
        <w:rPr>
          <w:rFonts w:ascii="仿宋_GB2312" w:eastAsia="仿宋_GB2312" w:cs="仿宋_GB2312" w:hAnsi="仿宋_GB2312" w:hint="eastAsia"/>
          <w:sz w:val="32"/>
          <w:szCs w:val="32"/>
          <w:lang w:val="en-US" w:eastAsia="zh-CN"/>
        </w:rPr>
        <w:t>6</w:t>
      </w:r>
      <w:r>
        <w:rPr>
          <w:rFonts w:ascii="仿宋_GB2312" w:eastAsia="仿宋_GB2312" w:cs="仿宋_GB2312" w:hAnsi="仿宋_GB2312" w:hint="eastAsia"/>
          <w:sz w:val="32"/>
          <w:szCs w:val="32"/>
        </w:rPr>
        <w:t>年</w:t>
      </w:r>
      <w:r>
        <w:rPr>
          <w:rFonts w:ascii="仿宋_GB2312" w:eastAsia="仿宋_GB2312" w:cs="仿宋_GB2312" w:hAnsi="仿宋_GB2312" w:hint="eastAsia"/>
          <w:sz w:val="32"/>
          <w:szCs w:val="32"/>
          <w:lang w:val="en-US" w:eastAsia="zh-CN"/>
        </w:rPr>
        <w:t>8</w:t>
      </w:r>
      <w:r>
        <w:rPr>
          <w:rFonts w:ascii="仿宋_GB2312" w:eastAsia="仿宋_GB2312" w:cs="仿宋_GB2312" w:hAnsi="仿宋_GB2312" w:hint="eastAsia"/>
          <w:sz w:val="32"/>
          <w:szCs w:val="32"/>
        </w:rPr>
        <w:t>月</w:t>
      </w:r>
      <w:r>
        <w:rPr>
          <w:rFonts w:ascii="仿宋_GB2312" w:eastAsia="仿宋_GB2312" w:cs="仿宋_GB2312" w:hAnsi="仿宋_GB2312" w:hint="eastAsia"/>
          <w:sz w:val="32"/>
          <w:szCs w:val="32"/>
          <w:lang w:val="en-US" w:eastAsia="zh-CN"/>
        </w:rPr>
        <w:t>14</w:t>
      </w:r>
      <w:r>
        <w:rPr>
          <w:rFonts w:ascii="仿宋_GB2312" w:eastAsia="仿宋_GB2312" w:cs="仿宋_GB2312" w:hAnsi="仿宋_GB2312" w:hint="eastAsia"/>
          <w:sz w:val="32"/>
          <w:szCs w:val="32"/>
        </w:rPr>
        <w:t>日</w:t>
      </w:r>
    </w:p>
    <w:p>
      <w:pPr>
        <w:spacing w:line="570" w:lineRule="exact"/>
        <w:jc w:val="both"/>
        <w:rPr>
          <w:rFonts w:ascii="仿宋_GB2312" w:eastAsia="仿宋_GB2312" w:cs="Times New Roman" w:hAnsi="等线"/>
          <w:sz w:val="32"/>
          <w:szCs w:val="32"/>
        </w:rPr>
      </w:pPr>
    </w:p>
    <w:p>
      <w:pPr>
        <w:rPr>
          <w:rFonts w:ascii="等线" w:eastAsia="等线" w:cs="Times New Roman" w:hAnsi="等线"/>
        </w:rPr>
      </w:pPr>
    </w:p>
    <w:p/>
    <w:sectPr>
      <w:pgSz w:w="11906" w:h="16838"/>
      <w:pgMar w:top="1440" w:right="1803" w:bottom="1440" w:left="1803" w:header="851" w:footer="992" w:gutter="0"/>
      <w:pgNumType/>
      <w:cols w:num="1" w:space="0"/>
      <w:rtlGutter/>
      <w:docGrid w:type="lines" w:linePitch="319" w:charSpace="0"/>
    </w:sectPr>
  </w:body>
</w:document>
</file>

<file path=word/fontTable.xml><?xml version="1.0" encoding="utf-8"?>
<w:fonts xmlns:w="http://schemas.openxmlformats.org/wordprocessingml/2006/main" xmlns:r="http://schemas.openxmlformats.org/officeDocument/2006/relationships">
  <w:font w:name="黑体">
    <w:panose1 w:val="02010609060101010101"/>
    <w:charset w:val="86"/>
    <w:family w:val="auto"/>
    <w:pitch w:val="variable"/>
    <w:sig w:usb0="800002BF" w:usb1="38CF7CFA" w:usb2="00000016" w:usb3="00000000" w:csb0="00040001" w:csb1="00000000"/>
  </w:font>
  <w:font w:name="方正小标宋_GBK">
    <w:panose1 w:val="03000509000000000000"/>
    <w:charset w:val="86"/>
    <w:family w:val="script"/>
    <w:pitch w:val="variable"/>
    <w:sig w:usb0="00000001" w:usb1="080E0000" w:usb2="00000000" w:usb3="00000000" w:csb0="00040000" w:csb1="00000000"/>
  </w:font>
  <w:font w:name="仿宋_GB2312">
    <w:panose1 w:val="02010609030101010101"/>
    <w:charset w:val="86"/>
    <w:family w:val="modern"/>
    <w:pitch w:val="variable"/>
    <w:sig w:usb0="00000001" w:usb1="080E0000" w:usb2="00000000" w:usb3="00000000" w:csb0="00040000" w:csb1="00000000"/>
  </w:font>
  <w:font w:name="FZXBSK--GBK1-0">
    <w:altName w:val="Times New Roman"/>
    <w:panose1 w:val="00000000000000000000"/>
    <w:charset w:val="00"/>
    <w:family w:val="roman"/>
    <w:pitch w:val="variable"/>
    <w:sig w:usb0="00000000" w:usb1="00000000" w:usb2="00000000" w:usb3="00000000" w:csb0="00000000" w:csb1="00000000"/>
  </w:font>
  <w:font w:name="FZKTK--GBK1-0">
    <w:altName w:val="Times New Roman"/>
    <w:panose1 w:val="00000000000000000000"/>
    <w:charset w:val="00"/>
    <w:family w:val="roman"/>
    <w:pitch w:val="variable"/>
    <w:sig w:usb0="00000000" w:usb1="00000000" w:usb2="00000000" w:usb3="00000000" w:csb0="00000000" w:csb1="00000000"/>
  </w:font>
  <w:font w:name="方正小标宋简体">
    <w:panose1 w:val="02010601030101010101"/>
    <w:charset w:val="86"/>
    <w:family w:val="auto"/>
    <w:pitch w:val="variable"/>
    <w:sig w:usb0="00000001" w:usb1="080E0000" w:usb2="00000000" w:usb3="00000000" w:csb0="00040000" w:csb1="00000000"/>
  </w:font>
  <w:font w:name="方正楷体_GBK">
    <w:altName w:val="微软雅黑"/>
    <w:panose1 w:val="00000000000000000000"/>
    <w:charset w:val="86"/>
    <w:family w:val="script"/>
    <w:pitch w:val="variable"/>
    <w:sig w:usb0="00000000" w:usb1="00000000" w:usb2="00000010" w:usb3="00000000" w:csb0="00040000" w:csb1="00000000"/>
  </w:font>
  <w:font w:name="Times New Roman">
    <w:panose1 w:val="02020603050405020304"/>
    <w:charset w:val="01"/>
    <w:family w:val="auto"/>
    <w:pitch w:val="variable"/>
    <w:sig w:usb0="E0002EFF" w:usb1="C000785B" w:usb2="00000009" w:usb3="00000000" w:csb0="400001FF" w:csb1="FFFF0000"/>
  </w:font>
  <w:font w:name="仿宋">
    <w:panose1 w:val="02010609060101010101"/>
    <w:charset w:val="86"/>
    <w:family w:val="modern"/>
    <w:pitch w:val="variable"/>
    <w:sig w:usb0="800002BF" w:usb1="38CF7CFA" w:usb2="00000016" w:usb3="00000000" w:csb0="00040001" w:csb1="00000000"/>
  </w:font>
  <w:font w:name="等线">
    <w:altName w:val="黑体"/>
    <w:panose1 w:val="02010600030101010101"/>
    <w:charset w:val="86"/>
    <w:family w:val="auto"/>
    <w:pitch w:val="variable"/>
    <w:sig w:usb0="A00002BF" w:usb1="38CF7CFA" w:usb2="00000016" w:usb3="00000000" w:csb0="0004000F" w:csb1="00000000"/>
  </w:font>
  <w:font w:name="Times Roman">
    <w:altName w:val="Times New Roman"/>
    <w:panose1 w:val="00000000000000000000"/>
    <w:charset w:val="00"/>
    <w:family w:val="roman"/>
    <w:pitch w:val="variable"/>
    <w:sig w:usb0="00000000" w:usb1="00000000" w:usb2="00000000" w:usb3="00000000" w:csb0="00000001" w:csb1="00000000"/>
  </w:font>
  <w:font w:name="Calibri">
    <w:panose1 w:val="020F0502020204030204"/>
    <w:charset w:val="00"/>
    <w:family w:val="swiss"/>
    <w:pitch w:val="variable"/>
    <w:sig w:usb0="E4002EFF" w:usb1="C000247B" w:usb2="00000009" w:usb3="00000000" w:csb0="200001FF" w:csb1="00000000"/>
  </w:font>
  <w:font w:name="楷体">
    <w:panose1 w:val="02010609060101010101"/>
    <w:charset w:val="86"/>
    <w:family w:val="modern"/>
    <w:pitch w:val="variable"/>
    <w:sig w:usb0="800002BF" w:usb1="38CF7CFA" w:usb2="00000016" w:usb3="00000000" w:csb0="00040001" w:csb1="00000000"/>
  </w:font>
  <w:font w:name="宋体">
    <w:panose1 w:val="02010600030101010101"/>
    <w:charset w:val="86"/>
    <w:family w:val="auto"/>
    <w:pitch w:val="variable"/>
    <w:sig w:usb0="00000203" w:usb1="288F0000" w:usb2="00000006" w:usb3="00000000" w:csb0="00040001" w:csb1="00000000"/>
  </w:font>
  <w:font w:name="新宋体">
    <w:panose1 w:val="02010609030101010101"/>
    <w:charset w:val="86"/>
    <w:family w:val="modern"/>
    <w:pitch w:val="variable"/>
    <w:sig w:usb0="00000203" w:usb1="288F0000" w:usb2="00000006" w:usb3="00000000" w:csb0="00040001" w:csb1="00000000"/>
  </w:font>
  <w:font w:name="方正仿宋_GBK">
    <w:altName w:val="微软雅黑"/>
    <w:panose1 w:val="00000000000000000000"/>
    <w:charset w:val="86"/>
    <w:family w:val="script"/>
    <w:pitch w:val="variable"/>
    <w:sig w:usb0="00000000" w:usb1="00000000" w:usb2="00000010" w:usb3="00000000" w:csb0="00040000" w:csb1="00000000"/>
  </w:font>
  <w:font w:name="Arial">
    <w:panose1 w:val="020B0604020202020204"/>
    <w:charset w:val="01"/>
    <w:family w:val="swiss"/>
    <w:pitch w:val="variable"/>
    <w:sig w:usb0="E0002EFF" w:usb1="C000785B" w:usb2="00000009" w:usb3="00000000" w:csb0="400001FF" w:csb1="FFFF0000"/>
  </w:font>
  <w:font w:name="华文中宋">
    <w:panose1 w:val="02010600040101010101"/>
    <w:charset w:val="86"/>
    <w:family w:val="auto"/>
    <w:pitch w:val="variable"/>
    <w:sig w:usb0="00000287" w:usb1="080F0000" w:usb2="00000000" w:usb3="00000000" w:csb0="0004009F" w:csb1="DFD70000"/>
  </w:font>
  <w:font w:name="楷体_GB2312">
    <w:altName w:val="楷体"/>
    <w:panose1 w:val="02010609030101010101"/>
    <w:charset w:val="86"/>
    <w:family w:val="modern"/>
    <w:pitch w:val="variable"/>
    <w:sig w:usb0="00000000" w:usb1="00000000" w:usb2="00000010" w:usb3="00000000" w:csb0="00040000" w:csb1="00000000"/>
  </w:font>
  <w:font w:name="锐字云字库小标宋体GBK">
    <w:altName w:val="方正小标宋_GBK"/>
    <w:panose1 w:val="00000000000000000000"/>
    <w:charset w:val="86"/>
    <w:family w:val="auto"/>
    <w:pitch w:val="variable"/>
    <w:sig w:usb0="00000000" w:usb1="00000000" w:usb2="00000000" w:usb3="00000000" w:csb0="00040001" w:csb1="00000000"/>
  </w:font>
  <w:font w:name="方正楷体_GB2312">
    <w:altName w:val="宋体"/>
    <w:panose1 w:val="02000000000000000000"/>
    <w:charset w:val="86"/>
    <w:family w:val="auto"/>
    <w:pitch w:val="variable"/>
    <w:sig w:usb0="00000000" w:usb1="00000000" w:usb2="00000012" w:usb3="00000000" w:csb0="00040001" w:csb1="00000000"/>
  </w:font>
  <w:font w:name="方正黑体_GBK">
    <w:altName w:val="微软雅黑"/>
    <w:panose1 w:val="03000509000000000000"/>
    <w:charset w:val="86"/>
    <w:family w:val="script"/>
    <w:pitch w:val="variable"/>
    <w:sig w:usb0="00000000" w:usb1="00000000" w:usb2="00000000" w:usb3="00000000" w:csb0="00040000" w:csb1="00000000"/>
  </w:font>
  <w:font w:name="Lucida Sans">
    <w:altName w:val="Arial"/>
    <w:panose1 w:val="020B0602030504020204"/>
    <w:charset w:val="00"/>
    <w:family w:val="auto"/>
    <w:pitch w:val="variable"/>
    <w:sig w:usb0="00000003" w:usb1="00000000" w:usb2="00000000" w:usb3="00000000" w:csb0="20000001" w:csb1="00000000"/>
  </w:font>
  <w:font w:name="Cambria">
    <w:altName w:val="Arial"/>
    <w:panose1 w:val="02040503050406030204"/>
    <w:charset w:val="00"/>
    <w:family w:val="roman"/>
    <w:pitch w:val="variable"/>
    <w:sig w:usb0="E00006FF" w:usb1="420024FF" w:usb2="02000000" w:usb3="00000000" w:csb0="2000019F" w:csb1="00000000"/>
  </w:font>
  <w:font w:name="Courier New">
    <w:altName w:val="Arial"/>
    <w:panose1 w:val="02070309020205020404"/>
    <w:charset w:val="01"/>
    <w:family w:val="modern"/>
    <w:pitch w:val="variable"/>
    <w:sig w:usb0="E0002EFF" w:usb1="C0007843" w:usb2="00000009" w:usb3="00000000" w:csb0="400001FF" w:csb1="FFFF0000"/>
  </w:font>
  <w:font w:name="FZHTK--GBK1-0">
    <w:altName w:val="Times New Roman"/>
    <w:panose1 w:val="00000000000000000000"/>
    <w:charset w:val="00"/>
    <w:family w:val="roman"/>
    <w:pitch w:val="variable"/>
    <w:sig w:usb0="00000000" w:usb1="00000000" w:usb2="00000000" w:usb3="00000000" w:csb0="00000000" w:csb1="00000000"/>
  </w:font>
  <w:font w:name="TimesNewRomanPSMT">
    <w:altName w:val="Times New Roman"/>
    <w:panose1 w:val="00000000000000000000"/>
    <w:charset w:val="00"/>
    <w:family w:val="roman"/>
    <w:pitch w:val="variable"/>
    <w:sig w:usb0="00000000" w:usb1="00000000" w:usb2="00000000"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jc w:val="both"/>
    </w:pPr>
    <w:r>
      <w:rPr>
        <w:sz w:val="18"/>
      </w:rPr>
      <mc:AlternateContent>
        <mc:Choice Requires="wps">
          <w:drawing>
            <wp:anchor distT="0" distB="0" distL="114298" distR="114298" simplePos="0" relativeHeight="23" behindDoc="0" locked="0" layoutInCell="1" hidden="0" allowOverlap="1">
              <wp:simplePos x="0" y="0"/>
              <wp:positionH relativeFrom="margin">
                <wp:align>center</wp:align>
              </wp:positionH>
              <wp:positionV relativeFrom="paragraph">
                <wp:posOffset>0</wp:posOffset>
              </wp:positionV>
              <wp:extent cx="76198" cy="139560"/>
              <wp:effectExtent l="0" t="0" r="0" b="0"/>
              <wp:wrapNone/>
              <wp:docPr id="1" name="文本框 1"/>
              <wp:cNvGraphicFramePr>
                <a:graphicFrameLocks noChangeAspect="0"/>
              </wp:cNvGraphicFramePr>
              <a:graphic>
                <a:graphicData uri="http://schemas.microsoft.com/office/word/2010/wordprocessingShape">
                  <wps:wsp>
                    <wps:cNvSpPr/>
                    <wps:spPr>
                      <a:xfrm rot="0">
                        <a:off x="0" y="0"/>
                        <a:ext cx="76198" cy="139560"/>
                      </a:xfrm>
                      <a:prstGeom prst="rect"/>
                      <a:noFill/>
                      <a:ln w="6350" cmpd="sng" cap="flat">
                        <a:noFill/>
                        <a:prstDash val="solid"/>
                        <a:round/>
                      </a:ln>
                    </wps:spPr>
                    <wps:txbx id="2">
                      <w:txbxContent>
                        <w:p>
                          <w:pPr>
                            <w:pStyle w:val="21"/>
                            <w:tabs>
                              <w:tab w:val="center" w:pos="4153"/>
                              <w:tab w:val="right" w:pos="8306"/>
                            </w:tabs>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type="#_x0000_t202" id="文本框 1 3" o:spid="_x0000_s3" filled="f" stroked="f" strokeweight="0.5pt" style="position:absolute;margin-left:0.0pt;margin-top:0.0pt;width:5.9999084pt;height:10.988999pt;z-index:23;mso-position-horizontal:center;mso-position-horizontal-relative:margin;mso-position-vertical:absolute;mso-wrap-distance-left:8.999863pt;mso-wrap-distance-right:8.999863pt;mso-wrap-style:none;">
              <v:stroke color="#000000"/>
              <v:textbox id="849" inset="0mm,0mm,0mm,0mm" o:insetmode="custom" style="layout-flow:horizontal;v-text-anchor:top;mso-fit-shape-to-text:t;">
                <w:txbxContent>
                  <w:p>
                    <w:pPr>
                      <w:pStyle w:val="21"/>
                      <w:tabs>
                        <w:tab w:val="center" w:pos="4153"/>
                        <w:tab w:val="right" w:pos="8306"/>
                      </w:tabs>
                    </w:pPr>
                    <w:r>
                      <w:fldChar w:fldCharType="begin"/>
                    </w:r>
                    <w:r>
                      <w:instrText xml:space="preserve"> PAGE  \* MERGEFORMAT </w:instrText>
                    </w:r>
                    <w:r>
                      <w:fldChar w:fldCharType="separate"/>
                    </w:r>
                    <w:r>
                      <w:t>1</w:t>
                    </w:r>
                    <w:r>
                      <w:fldChar w:fldCharType="end"/>
                    </w:r>
                  </w:p>
                </w:txbxContent>
              </v:textbox>
            </v:shape>
          </w:pict>
        </mc:Fallback>
      </mc:AlternateContent>
    </w:r>
  </w:p>
  <w:p>
    <w:pPr>
      <w:pStyle w:val="21"/>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pPr>
    <w:r>
      <w:rPr>
        <w:sz w:val="18"/>
      </w:rPr>
      <mc:AlternateContent>
        <mc:Choice Requires="wps">
          <w:drawing>
            <wp:anchor distT="0" distB="0" distL="114298" distR="114298" simplePos="0" relativeHeight="27" behindDoc="0" locked="0" layoutInCell="1" hidden="0" allowOverlap="1">
              <wp:simplePos x="0" y="0"/>
              <wp:positionH relativeFrom="margin">
                <wp:align>center</wp:align>
              </wp:positionH>
              <wp:positionV relativeFrom="paragraph">
                <wp:posOffset>0</wp:posOffset>
              </wp:positionV>
              <wp:extent cx="115900" cy="139560"/>
              <wp:effectExtent l="0" t="0" r="0" b="0"/>
              <wp:wrapNone/>
              <wp:docPr id="4" name="文本框 2"/>
              <wp:cNvGraphicFramePr>
                <a:graphicFrameLocks noChangeAspect="0"/>
              </wp:cNvGraphicFramePr>
              <a:graphic>
                <a:graphicData uri="http://schemas.microsoft.com/office/word/2010/wordprocessingShape">
                  <wps:wsp>
                    <wps:cNvSpPr/>
                    <wps:spPr>
                      <a:xfrm rot="0">
                        <a:off x="0" y="0"/>
                        <a:ext cx="115900" cy="139560"/>
                      </a:xfrm>
                      <a:prstGeom prst="rect"/>
                      <a:noFill/>
                      <a:ln w="6350" cmpd="sng" cap="flat">
                        <a:noFill/>
                        <a:prstDash val="solid"/>
                        <a:round/>
                      </a:ln>
                    </wps:spPr>
                    <wps:txbx id="5">
                      <w:txbxContent>
                        <w:p>
                          <w:pPr>
                            <w:pStyle w:val="21"/>
                            <w:tabs>
                              <w:tab w:val="center" w:pos="4153"/>
                              <w:tab w:val="right" w:pos="8306"/>
                            </w:tabs>
                          </w:pPr>
                          <w:r>
                            <w:fldChar w:fldCharType="begin"/>
                          </w:r>
                          <w:r>
                            <w:instrText xml:space="preserve"> PAGE  \* MERGEFORMAT </w:instrText>
                          </w:r>
                          <w:r>
                            <w:fldChar w:fldCharType="separate"/>
                          </w:r>
                          <w:r>
                            <w:t>50</w:t>
                          </w:r>
                          <w:r>
                            <w:fldChar w:fldCharType="end"/>
                          </w:r>
                        </w:p>
                      </w:txbxContent>
                    </wps:txbx>
                    <wps:bodyPr vert="horz" wrap="none" lIns="0" tIns="0" rIns="0" bIns="0" anchor="t" anchorCtr="0" upright="0">
                      <a:spAutoFit/>
                    </wps:bodyPr>
                  </wps:wsp>
                </a:graphicData>
              </a:graphic>
            </wp:anchor>
          </w:drawing>
        </mc:Choice>
        <mc:Fallback>
          <w:pict>
            <v:shape type="#_x0000_t202" id="文本框 2 6" o:spid="_x0000_s6" filled="f" stroked="f" strokeweight="0.5pt" style="position:absolute;margin-left:0.0pt;margin-top:0.0pt;width:9.125998pt;height:10.988999pt;z-index:27;mso-position-horizontal:center;mso-position-horizontal-relative:margin;mso-position-vertical:absolute;mso-wrap-distance-left:8.999863pt;mso-wrap-distance-right:8.999863pt;mso-wrap-style:none;">
              <v:stroke color="#000000"/>
              <v:textbox id="850" inset="0mm,0mm,0mm,0mm" o:insetmode="custom" style="layout-flow:horizontal;v-text-anchor:top;mso-fit-shape-to-text:t;">
                <w:txbxContent>
                  <w:p>
                    <w:pPr>
                      <w:pStyle w:val="21"/>
                      <w:tabs>
                        <w:tab w:val="center" w:pos="4153"/>
                        <w:tab w:val="right" w:pos="8306"/>
                      </w:tabs>
                    </w:pPr>
                    <w:r>
                      <w:fldChar w:fldCharType="begin"/>
                    </w:r>
                    <w:r>
                      <w:instrText xml:space="preserve"> PAGE  \* MERGEFORMAT </w:instrText>
                    </w:r>
                    <w:r>
                      <w:fldChar w:fldCharType="separate"/>
                    </w:r>
                    <w:r>
                      <w:t>50</w:t>
                    </w:r>
                    <w:r>
                      <w:fldChar w:fldCharType="end"/>
                    </w:r>
                  </w:p>
                </w:txbxContent>
              </v:textbox>
            </v:shape>
          </w:pict>
        </mc:Fallback>
      </mc:AlternateContent>
    </w:r>
  </w:p>
  <w:p>
    <w:pPr>
      <w:pStyle w:val="21"/>
      <w:tabs>
        <w:tab w:val="center" w:pos="4153"/>
        <w:tab w:val="right" w:pos="8306"/>
      </w:tabs>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jc w:val="both"/>
      <w:rPr>
        <w:rFonts w:eastAsia="宋体"/>
        <w:lang w:val="en-US" w:eastAsia="zh-CN"/>
      </w:rPr>
    </w:pPr>
    <w:r>
      <w:rPr>
        <w:sz w:val="18"/>
      </w:rPr>
      <mc:AlternateContent>
        <mc:Choice Requires="wps">
          <w:drawing>
            <wp:anchor distT="0" distB="0" distL="114298" distR="114298" simplePos="0" relativeHeight="33" behindDoc="0" locked="0" layoutInCell="1" hidden="0" allowOverlap="1">
              <wp:simplePos x="0" y="0"/>
              <wp:positionH relativeFrom="margin">
                <wp:align>center</wp:align>
              </wp:positionH>
              <wp:positionV relativeFrom="paragraph">
                <wp:posOffset>0</wp:posOffset>
              </wp:positionV>
              <wp:extent cx="115900" cy="139560"/>
              <wp:effectExtent l="0" t="0" r="0" b="0"/>
              <wp:wrapNone/>
              <wp:docPr id="7" name="文本框 5"/>
              <wp:cNvGraphicFramePr>
                <a:graphicFrameLocks noChangeAspect="0"/>
              </wp:cNvGraphicFramePr>
              <a:graphic>
                <a:graphicData uri="http://schemas.microsoft.com/office/word/2010/wordprocessingShape">
                  <wps:wsp>
                    <wps:cNvSpPr/>
                    <wps:spPr>
                      <a:xfrm rot="0">
                        <a:off x="0" y="0"/>
                        <a:ext cx="115900" cy="139560"/>
                      </a:xfrm>
                      <a:prstGeom prst="rect"/>
                      <a:noFill/>
                      <a:ln w="6350" cmpd="sng" cap="flat">
                        <a:noFill/>
                        <a:prstDash val="solid"/>
                        <a:round/>
                      </a:ln>
                    </wps:spPr>
                    <wps:txbx id="8">
                      <w:txbxContent>
                        <w:p>
                          <w:pPr>
                            <w:pStyle w:val="21"/>
                            <w:tabs>
                              <w:tab w:val="center" w:pos="4153"/>
                              <w:tab w:val="right" w:pos="8306"/>
                            </w:tabs>
                          </w:pPr>
                          <w:r>
                            <w:fldChar w:fldCharType="begin"/>
                          </w:r>
                          <w:r>
                            <w:instrText xml:space="preserve"> PAGE  \* MERGEFORMAT </w:instrText>
                          </w:r>
                          <w:r>
                            <w:fldChar w:fldCharType="separate"/>
                          </w:r>
                          <w:r>
                            <w:t>61</w:t>
                          </w:r>
                          <w:r>
                            <w:fldChar w:fldCharType="end"/>
                          </w:r>
                        </w:p>
                      </w:txbxContent>
                    </wps:txbx>
                    <wps:bodyPr vert="horz" wrap="none" lIns="0" tIns="0" rIns="0" bIns="0" anchor="t" anchorCtr="0" upright="0">
                      <a:spAutoFit/>
                    </wps:bodyPr>
                  </wps:wsp>
                </a:graphicData>
              </a:graphic>
            </wp:anchor>
          </w:drawing>
        </mc:Choice>
        <mc:Fallback>
          <w:pict>
            <v:shape type="#_x0000_t202" id="文本框 5 9" o:spid="_x0000_s9" filled="f" stroked="f" strokeweight="0.5pt" style="position:absolute;margin-left:0.0pt;margin-top:0.0pt;width:9.125998pt;height:10.988999pt;z-index:33;mso-position-horizontal:center;mso-position-horizontal-relative:margin;mso-position-vertical:absolute;mso-wrap-distance-left:8.999863pt;mso-wrap-distance-right:8.999863pt;mso-wrap-style:none;">
              <v:stroke color="#000000"/>
              <v:textbox id="851" inset="0mm,0mm,0mm,0mm" o:insetmode="custom" style="layout-flow:horizontal;v-text-anchor:top;mso-fit-shape-to-text:t;">
                <w:txbxContent>
                  <w:p>
                    <w:pPr>
                      <w:pStyle w:val="21"/>
                      <w:tabs>
                        <w:tab w:val="center" w:pos="4153"/>
                        <w:tab w:val="right" w:pos="8306"/>
                      </w:tabs>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kinsoku w:val="0"/>
      <w:autoSpaceDE w:val="0"/>
      <w:autoSpaceDN w:val="0"/>
      <w:adjustRightInd w:val="0"/>
      <w:snapToGrid w:val="0"/>
      <w:spacing w:line="228" w:lineRule="auto"/>
      <w:ind w:left="5320"/>
      <w:jc w:val="left"/>
      <w:textAlignment w:val="baseline"/>
      <w:rPr>
        <w:rFonts w:ascii="宋体" w:eastAsia="宋体" w:cs="宋体" w:hAnsi="宋体"/>
        <w:snapToGrid w:val="0"/>
        <w:color w:val="000000"/>
        <w:kern w:val="0"/>
        <w:sz w:val="17"/>
        <w:szCs w:val="17"/>
        <w:lang w:val="en-US" w:bidi="ar-SA"/>
      </w:rPr>
    </w:pPr>
    <w:r>
      <w:rPr>
        <w:rFonts w:ascii="宋体" w:eastAsia="宋体" w:cs="宋体" w:hAnsi="宋体"/>
        <w:snapToGrid w:val="0"/>
        <w:color w:val="000000"/>
        <w:kern w:val="0"/>
        <w:sz w:val="17"/>
        <w:szCs w:val="87"/>
        <w:lang w:val="en-US" w:bidi="ar-SA"/>
      </w:rPr>
      <mc:AlternateContent>
        <mc:Choice Requires="wps">
          <w:drawing>
            <wp:anchor distT="0" distB="0" distL="114298" distR="114298" simplePos="0" relativeHeight="25" behindDoc="0" locked="0" layoutInCell="1" hidden="0" allowOverlap="1">
              <wp:simplePos x="0" y="0"/>
              <wp:positionH relativeFrom="margin">
                <wp:align>center</wp:align>
              </wp:positionH>
              <wp:positionV relativeFrom="paragraph">
                <wp:posOffset>0</wp:posOffset>
              </wp:positionV>
              <wp:extent cx="266776" cy="131559"/>
              <wp:effectExtent l="0" t="0" r="0" b="0"/>
              <wp:wrapNone/>
              <wp:docPr id="10" name="文本框 12"/>
              <wp:cNvGraphicFramePr>
                <a:graphicFrameLocks noChangeAspect="0"/>
              </wp:cNvGraphicFramePr>
              <a:graphic>
                <a:graphicData uri="http://schemas.microsoft.com/office/word/2010/wordprocessingShape">
                  <wps:wsp>
                    <wps:cNvSpPr/>
                    <wps:spPr>
                      <a:xfrm rot="0">
                        <a:off x="0" y="0"/>
                        <a:ext cx="266776" cy="131559"/>
                      </a:xfrm>
                      <a:prstGeom prst="rect"/>
                      <a:noFill/>
                      <a:ln w="6350" cmpd="sng" cap="flat">
                        <a:noFill/>
                        <a:prstDash val="solid"/>
                        <a:round/>
                      </a:ln>
                    </wps:spPr>
                    <wps:txbx id="11">
                      <w:txbxContent>
                        <w:p>
                          <w:pPr>
                            <w:tabs>
                              <w:tab w:val="center" w:pos="4153"/>
                              <w:tab w:val="right" w:pos="8306"/>
                            </w:tabs>
                            <w:kinsoku w:val="0"/>
                            <w:autoSpaceDE w:val="0"/>
                            <w:autoSpaceDN w:val="0"/>
                            <w:adjustRightInd w:val="0"/>
                            <w:snapToGrid w:val="0"/>
                            <w:spacing w:line="240" w:lineRule="auto"/>
                            <w:jc w:val="left"/>
                            <w:textAlignment w:val="baseline"/>
                            <w:rPr>
                              <w:rFonts w:ascii="Arial" w:eastAsia="Arial" w:cs="Arial" w:hAnsi="Arial"/>
                              <w:snapToGrid w:val="0"/>
                              <w:color w:val="000000"/>
                              <w:kern w:val="0"/>
                              <w:sz w:val="18"/>
                              <w:szCs w:val="21"/>
                              <w:lang w:val="en-US" w:bidi="ar-SA"/>
                            </w:rPr>
                          </w:pPr>
                          <w:r>
                            <w:rPr>
                              <w:rFonts w:ascii="Arial" w:eastAsia="Arial" w:cs="Arial" w:hAnsi="Arial"/>
                              <w:snapToGrid w:val="0"/>
                              <w:color w:val="000000"/>
                              <w:kern w:val="0"/>
                              <w:sz w:val="18"/>
                              <w:szCs w:val="21"/>
                              <w:lang w:val="en-US" w:bidi="ar-SA"/>
                            </w:rPr>
                            <w:fldChar w:fldCharType="begin"/>
                          </w:r>
                          <w:r>
                            <w:rPr>
                              <w:rFonts w:ascii="Arial" w:eastAsia="Arial" w:cs="Arial" w:hAnsi="Arial"/>
                              <w:snapToGrid w:val="0"/>
                              <w:color w:val="000000"/>
                              <w:kern w:val="0"/>
                              <w:sz w:val="18"/>
                              <w:szCs w:val="21"/>
                              <w:lang w:val="en-US" w:bidi="ar-SA"/>
                            </w:rPr>
                            <w:instrText xml:space="preserve"> PAGE  \* MERGEFORMAT </w:instrText>
                          </w:r>
                          <w:r>
                            <w:rPr>
                              <w:rFonts w:ascii="Arial" w:eastAsia="Arial" w:cs="Arial" w:hAnsi="Arial"/>
                              <w:snapToGrid w:val="0"/>
                              <w:color w:val="000000"/>
                              <w:kern w:val="0"/>
                              <w:sz w:val="18"/>
                              <w:szCs w:val="21"/>
                              <w:lang w:val="en-US" w:bidi="ar-SA"/>
                            </w:rPr>
                            <w:fldChar w:fldCharType="separate"/>
                          </w:r>
                          <w:r>
                            <w:rPr>
                              <w:rFonts w:ascii="Arial" w:eastAsia="Arial" w:cs="Arial" w:hAnsi="Arial"/>
                              <w:snapToGrid w:val="0"/>
                              <w:color w:val="000000"/>
                              <w:kern w:val="0"/>
                              <w:sz w:val="18"/>
                              <w:szCs w:val="21"/>
                              <w:lang w:val="en-US" w:bidi="ar-SA"/>
                            </w:rPr>
                            <w:t>- 6 -</w:t>
                          </w:r>
                          <w:r>
                            <w:rPr>
                              <w:rFonts w:ascii="Arial" w:eastAsia="Arial" w:cs="Arial" w:hAnsi="Arial"/>
                              <w:snapToGrid w:val="0"/>
                              <w:color w:val="000000"/>
                              <w:kern w:val="0"/>
                              <w:sz w:val="18"/>
                              <w:szCs w:val="21"/>
                              <w:lang w:val="en-US" w:bidi="ar-SA"/>
                            </w:rPr>
                            <w:fldChar w:fldCharType="end"/>
                          </w:r>
                        </w:p>
                      </w:txbxContent>
                    </wps:txbx>
                    <wps:bodyPr vert="horz" wrap="none" lIns="0" tIns="0" rIns="0" bIns="0" anchor="t" anchorCtr="0" upright="0">
                      <a:spAutoFit/>
                    </wps:bodyPr>
                  </wps:wsp>
                </a:graphicData>
              </a:graphic>
            </wp:anchor>
          </w:drawing>
        </mc:Choice>
        <mc:Fallback>
          <w:pict>
            <v:shape type="#_x0000_t202" id="文本框 12 12" o:spid="_x0000_s12" filled="f" stroked="f" strokeweight="0.5pt" style="position:absolute;margin-left:0.0pt;margin-top:0.0pt;width:21.005997pt;height:10.359035pt;z-index:25;mso-position-horizontal:center;mso-position-horizontal-relative:margin;mso-position-vertical:absolute;mso-wrap-distance-left:8.999863pt;mso-wrap-distance-right:8.999863pt;mso-wrap-style:none;">
              <v:stroke color="#000000"/>
              <v:textbox id="852" inset="0mm,0mm,0mm,0mm" o:insetmode="custom" style="layout-flow:horizontal;v-text-anchor:top;mso-fit-shape-to-text:t;">
                <w:txbxContent>
                  <w:p>
                    <w:pPr>
                      <w:tabs>
                        <w:tab w:val="center" w:pos="4153"/>
                        <w:tab w:val="right" w:pos="8306"/>
                      </w:tabs>
                      <w:kinsoku w:val="0"/>
                      <w:autoSpaceDE w:val="0"/>
                      <w:autoSpaceDN w:val="0"/>
                      <w:adjustRightInd w:val="0"/>
                      <w:snapToGrid w:val="0"/>
                      <w:spacing w:line="240" w:lineRule="auto"/>
                      <w:jc w:val="left"/>
                      <w:textAlignment w:val="baseline"/>
                      <w:rPr>
                        <w:rFonts w:ascii="Arial" w:eastAsia="Arial" w:cs="Arial" w:hAnsi="Arial"/>
                        <w:snapToGrid w:val="0"/>
                        <w:color w:val="000000"/>
                        <w:kern w:val="0"/>
                        <w:sz w:val="18"/>
                        <w:szCs w:val="21"/>
                        <w:lang w:val="en-US" w:bidi="ar-SA"/>
                      </w:rPr>
                    </w:pPr>
                    <w:r>
                      <w:rPr>
                        <w:rFonts w:ascii="Arial" w:eastAsia="Arial" w:cs="Arial" w:hAnsi="Arial"/>
                        <w:snapToGrid w:val="0"/>
                        <w:color w:val="000000"/>
                        <w:kern w:val="0"/>
                        <w:sz w:val="18"/>
                        <w:szCs w:val="21"/>
                        <w:lang w:val="en-US" w:bidi="ar-SA"/>
                      </w:rPr>
                      <w:fldChar w:fldCharType="begin"/>
                    </w:r>
                    <w:r>
                      <w:rPr>
                        <w:rFonts w:ascii="Arial" w:eastAsia="Arial" w:cs="Arial" w:hAnsi="Arial"/>
                        <w:snapToGrid w:val="0"/>
                        <w:color w:val="000000"/>
                        <w:kern w:val="0"/>
                        <w:sz w:val="18"/>
                        <w:szCs w:val="21"/>
                        <w:lang w:val="en-US" w:bidi="ar-SA"/>
                      </w:rPr>
                      <w:instrText xml:space="preserve"> PAGE  \* MERGEFORMAT </w:instrText>
                    </w:r>
                    <w:r>
                      <w:rPr>
                        <w:rFonts w:ascii="Arial" w:eastAsia="Arial" w:cs="Arial" w:hAnsi="Arial"/>
                        <w:snapToGrid w:val="0"/>
                        <w:color w:val="000000"/>
                        <w:kern w:val="0"/>
                        <w:sz w:val="18"/>
                        <w:szCs w:val="21"/>
                        <w:lang w:val="en-US" w:bidi="ar-SA"/>
                      </w:rPr>
                      <w:fldChar w:fldCharType="separate"/>
                    </w:r>
                    <w:r>
                      <w:rPr>
                        <w:rFonts w:ascii="Arial" w:eastAsia="Arial" w:cs="Arial" w:hAnsi="Arial"/>
                        <w:snapToGrid w:val="0"/>
                        <w:color w:val="000000"/>
                        <w:kern w:val="0"/>
                        <w:sz w:val="18"/>
                        <w:szCs w:val="21"/>
                        <w:lang w:val="en-US" w:bidi="ar-SA"/>
                      </w:rPr>
                      <w:t>- 6 -</w:t>
                    </w:r>
                    <w:r>
                      <w:rPr>
                        <w:rFonts w:ascii="Arial" w:eastAsia="Arial" w:cs="Arial" w:hAnsi="Arial"/>
                        <w:snapToGrid w:val="0"/>
                        <w:color w:val="000000"/>
                        <w:kern w:val="0"/>
                        <w:sz w:val="18"/>
                        <w:szCs w:val="21"/>
                        <w:lang w:val="en-US" w:bidi="ar-SA"/>
                      </w:rPr>
                      <w:fldChar w:fldCharType="end"/>
                    </w:r>
                  </w:p>
                </w:txbxContent>
              </v:textbox>
            </v:shape>
          </w:pict>
        </mc:Fallback>
      </mc:AlternateContent>
    </w:r>
  </w:p>
</w:ftr>
</file>

<file path=word/footer5.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jc w:val="center"/>
    </w:pPr>
    <w:r>
      <w:rPr>
        <w:sz w:val="18"/>
      </w:rPr>
      <mc:AlternateContent>
        <mc:Choice Requires="wps">
          <w:drawing>
            <wp:anchor distT="0" distB="0" distL="114298" distR="114298" simplePos="0" relativeHeight="29" behindDoc="0" locked="0" layoutInCell="1" hidden="0" allowOverlap="1">
              <wp:simplePos x="0" y="0"/>
              <wp:positionH relativeFrom="margin">
                <wp:align>center</wp:align>
              </wp:positionH>
              <wp:positionV relativeFrom="paragraph">
                <wp:posOffset>0</wp:posOffset>
              </wp:positionV>
              <wp:extent cx="115900" cy="139560"/>
              <wp:effectExtent l="0" t="0" r="0" b="0"/>
              <wp:wrapNone/>
              <wp:docPr id="16" name="文本框 3"/>
              <wp:cNvGraphicFramePr>
                <a:graphicFrameLocks noChangeAspect="0"/>
              </wp:cNvGraphicFramePr>
              <a:graphic>
                <a:graphicData uri="http://schemas.microsoft.com/office/word/2010/wordprocessingShape">
                  <wps:wsp>
                    <wps:cNvSpPr/>
                    <wps:spPr>
                      <a:xfrm rot="0">
                        <a:off x="0" y="0"/>
                        <a:ext cx="115900" cy="139560"/>
                      </a:xfrm>
                      <a:prstGeom prst="rect"/>
                      <a:noFill/>
                      <a:ln w="6350" cmpd="sng" cap="flat">
                        <a:noFill/>
                        <a:prstDash val="solid"/>
                        <a:round/>
                      </a:ln>
                    </wps:spPr>
                    <wps:txbx id="17">
                      <w:txbxContent>
                        <w:p>
                          <w:pPr>
                            <w:pStyle w:val="21"/>
                            <w:tabs>
                              <w:tab w:val="center" w:pos="4153"/>
                              <w:tab w:val="right" w:pos="8306"/>
                            </w:tabs>
                          </w:pPr>
                          <w:r>
                            <w:fldChar w:fldCharType="begin"/>
                          </w:r>
                          <w:r>
                            <w:instrText xml:space="preserve"> PAGE  \* MERGEFORMAT </w:instrText>
                          </w:r>
                          <w:r>
                            <w:fldChar w:fldCharType="separate"/>
                          </w:r>
                          <w:r>
                            <w:t>62</w:t>
                          </w:r>
                          <w:r>
                            <w:fldChar w:fldCharType="end"/>
                          </w:r>
                        </w:p>
                      </w:txbxContent>
                    </wps:txbx>
                    <wps:bodyPr vert="horz" wrap="none" lIns="0" tIns="0" rIns="0" bIns="0" anchor="t" anchorCtr="0" upright="0">
                      <a:spAutoFit/>
                    </wps:bodyPr>
                  </wps:wsp>
                </a:graphicData>
              </a:graphic>
            </wp:anchor>
          </w:drawing>
        </mc:Choice>
        <mc:Fallback>
          <w:pict>
            <v:shape type="#_x0000_t202" id="文本框 3 18" o:spid="_x0000_s18" filled="f" stroked="f" strokeweight="0.5pt" style="position:absolute;margin-left:0.0pt;margin-top:0.0pt;width:9.125998pt;height:10.988999pt;z-index:29;mso-position-horizontal:center;mso-position-horizontal-relative:margin;mso-position-vertical:absolute;mso-wrap-distance-left:8.999863pt;mso-wrap-distance-right:8.999863pt;mso-wrap-style:none;">
              <v:stroke color="#000000"/>
              <v:textbox id="853" inset="0mm,0mm,0mm,0mm" o:insetmode="custom" style="layout-flow:horizontal;v-text-anchor:top;mso-fit-shape-to-text:t;">
                <w:txbxContent>
                  <w:p>
                    <w:pPr>
                      <w:pStyle w:val="21"/>
                      <w:tabs>
                        <w:tab w:val="center" w:pos="4153"/>
                        <w:tab w:val="right" w:pos="8306"/>
                      </w:tabs>
                    </w:pPr>
                    <w:r>
                      <w:fldChar w:fldCharType="begin"/>
                    </w:r>
                    <w:r>
                      <w:instrText xml:space="preserve"> PAGE  \* MERGEFORMAT </w:instrText>
                    </w:r>
                    <w:r>
                      <w:fldChar w:fldCharType="separate"/>
                    </w:r>
                    <w:r>
                      <w:t>62</w:t>
                    </w:r>
                    <w:r>
                      <w:fldChar w:fldCharType="end"/>
                    </w:r>
                  </w:p>
                </w:txbxContent>
              </v:textbox>
            </v:shape>
          </w:pict>
        </mc:Fallback>
      </mc:AlternateContent>
    </w:r>
  </w:p>
  <w:p>
    <w:pPr>
      <w:pStyle w:val="21"/>
      <w:tabs>
        <w:tab w:val="center" w:pos="4153"/>
        <w:tab w:val="right" w:pos="8306"/>
      </w:tabs>
    </w:pPr>
  </w:p>
</w:ftr>
</file>

<file path=word/footer6.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widowControl w:val="0"/>
      <w:pBdr>
        <w:top w:val="none" w:sz="0" w:space="0" w:color="auto"/>
        <w:left w:val="none" w:sz="0" w:space="0" w:color="auto"/>
        <w:bottom w:val="none" w:sz="0" w:space="0" w:color="auto"/>
        <w:right w:val="none" w:sz="0" w:space="0" w:color="auto"/>
      </w:pBdr>
      <w:tabs>
        <w:tab w:val="center" w:pos="4153"/>
        <w:tab w:val="right" w:pos="8306"/>
      </w:tabs>
      <w:snapToGrid w:val="0"/>
      <w:spacing w:line="240" w:lineRule="auto"/>
      <w:ind w:leftChars="2280" w:left="4788" w:firstLineChars="2000" w:firstLine="6400"/>
      <w:jc w:val="both"/>
      <w:outlineLvl w:val="9"/>
      <w:rPr>
        <w:rFonts w:ascii="Calibri" w:eastAsia="仿宋" w:cs="Times New Roman" w:hAnsi="Calibri"/>
        <w:kern w:val="2"/>
        <w:sz w:val="32"/>
        <w:szCs w:val="48"/>
        <w:lang w:val="en-US" w:eastAsia="zh-CN" w:bidi="ar-SA"/>
      </w:rPr>
    </w:pPr>
    <w:r>
      <w:rPr>
        <w:rFonts w:ascii="Calibri" w:eastAsia="宋体" w:cs="Times New Roman" w:hAnsi="Calibri"/>
        <w:kern w:val="2"/>
        <w:sz w:val="32"/>
        <w:szCs w:val="24"/>
        <w:lang w:val="en-US" w:eastAsia="zh-CN" w:bidi="ar-SA"/>
      </w:rPr>
      <mc:AlternateContent>
        <mc:Choice Requires="wps">
          <w:drawing>
            <wp:anchor distT="0" distB="0" distL="114298" distR="114298" simplePos="0" relativeHeight="21" behindDoc="0" locked="0" layoutInCell="1" hidden="0" allowOverlap="1">
              <wp:simplePos x="0" y="0"/>
              <wp:positionH relativeFrom="margin">
                <wp:align>center</wp:align>
              </wp:positionH>
              <wp:positionV relativeFrom="paragraph">
                <wp:posOffset>0</wp:posOffset>
              </wp:positionV>
              <wp:extent cx="115900" cy="139560"/>
              <wp:effectExtent l="0" t="0" r="0" b="0"/>
              <wp:wrapNone/>
              <wp:docPr id="19" name="文本框 8"/>
              <wp:cNvGraphicFramePr>
                <a:graphicFrameLocks noChangeAspect="0"/>
              </wp:cNvGraphicFramePr>
              <a:graphic>
                <a:graphicData uri="http://schemas.microsoft.com/office/word/2010/wordprocessingShape">
                  <wps:wsp>
                    <wps:cNvSpPr/>
                    <wps:spPr>
                      <a:xfrm rot="0">
                        <a:off x="0" y="0"/>
                        <a:ext cx="115900" cy="139560"/>
                      </a:xfrm>
                      <a:prstGeom prst="rect"/>
                      <a:noFill/>
                      <a:ln w="6350" cmpd="sng" cap="flat">
                        <a:noFill/>
                        <a:prstDash val="solid"/>
                        <a:round/>
                      </a:ln>
                    </wps:spPr>
                    <wps:txbx id="20">
                      <w:txbxContent>
                        <w:p>
                          <w:pPr>
                            <w:widowControl w:val="0"/>
                            <w:tabs>
                              <w:tab w:val="center" w:pos="4153"/>
                              <w:tab w:val="right" w:pos="8306"/>
                            </w:tabs>
                            <w:snapToGrid w:val="0"/>
                            <w:jc w:val="left"/>
                            <w:rPr>
                              <w:rFonts w:ascii="Calibri" w:eastAsia="宋体" w:cs="Times New Roman" w:hAnsi="Calibri"/>
                              <w:kern w:val="2"/>
                              <w:sz w:val="18"/>
                              <w:szCs w:val="24"/>
                              <w:lang w:val="en-US" w:eastAsia="zh-CN" w:bidi="ar-SA"/>
                            </w:rPr>
                          </w:pPr>
                          <w:r>
                            <w:rPr>
                              <w:rFonts w:ascii="Calibri" w:eastAsia="宋体" w:cs="Times New Roman" w:hAnsi="Calibri"/>
                              <w:kern w:val="2"/>
                              <w:sz w:val="18"/>
                              <w:szCs w:val="24"/>
                              <w:lang w:val="en-US" w:eastAsia="zh-CN" w:bidi="ar-SA"/>
                            </w:rPr>
                            <w:fldChar w:fldCharType="begin"/>
                          </w:r>
                          <w:r>
                            <w:rPr>
                              <w:rFonts w:ascii="Calibri" w:eastAsia="宋体" w:cs="Times New Roman" w:hAnsi="Calibri"/>
                              <w:kern w:val="2"/>
                              <w:sz w:val="18"/>
                              <w:szCs w:val="24"/>
                              <w:lang w:val="en-US" w:eastAsia="zh-CN" w:bidi="ar-SA"/>
                            </w:rPr>
                            <w:instrText xml:space="preserve"> PAGE  \* MERGEFORMAT </w:instrText>
                          </w:r>
                          <w:r>
                            <w:rPr>
                              <w:rFonts w:ascii="Calibri" w:eastAsia="宋体" w:cs="Times New Roman" w:hAnsi="Calibri"/>
                              <w:kern w:val="2"/>
                              <w:sz w:val="18"/>
                              <w:szCs w:val="24"/>
                              <w:lang w:val="en-US" w:eastAsia="zh-CN" w:bidi="ar-SA"/>
                            </w:rPr>
                            <w:fldChar w:fldCharType="separate"/>
                          </w:r>
                          <w:r>
                            <w:rPr>
                              <w:rFonts w:ascii="Calibri" w:eastAsia="宋体" w:cs="Times New Roman" w:hAnsi="Calibri"/>
                              <w:kern w:val="2"/>
                              <w:sz w:val="18"/>
                              <w:szCs w:val="24"/>
                              <w:lang w:val="en-US" w:eastAsia="zh-CN" w:bidi="ar-SA"/>
                            </w:rPr>
                            <w:t>86</w:t>
                          </w:r>
                          <w:r>
                            <w:rPr>
                              <w:rFonts w:ascii="Calibri" w:eastAsia="宋体" w:cs="Times New Roman" w:hAnsi="Calibri"/>
                              <w:kern w:val="2"/>
                              <w:sz w:val="18"/>
                              <w:szCs w:val="24"/>
                              <w:lang w:val="en-US" w:eastAsia="zh-CN" w:bidi="ar-SA"/>
                            </w:rPr>
                            <w:fldChar w:fldCharType="end"/>
                          </w:r>
                        </w:p>
                      </w:txbxContent>
                    </wps:txbx>
                    <wps:bodyPr vert="horz" wrap="none" lIns="0" tIns="0" rIns="0" bIns="0" anchor="t" anchorCtr="0" upright="0">
                      <a:spAutoFit/>
                    </wps:bodyPr>
                  </wps:wsp>
                </a:graphicData>
              </a:graphic>
            </wp:anchor>
          </w:drawing>
        </mc:Choice>
        <mc:Fallback>
          <w:pict>
            <v:shape type="#_x0000_t202" id="文本框 8 21" o:spid="_x0000_s21" filled="f" stroked="f" strokeweight="0.5pt" style="position:absolute;margin-left:0.0pt;margin-top:0.0pt;width:9.125998pt;height:10.988999pt;z-index:21;mso-position-horizontal:center;mso-position-horizontal-relative:margin;mso-position-vertical:absolute;mso-wrap-distance-left:8.999863pt;mso-wrap-distance-right:8.999863pt;mso-wrap-style:none;">
              <v:stroke color="#000000"/>
              <v:textbox id="854" inset="0mm,0mm,0mm,0mm" o:insetmode="custom" style="layout-flow:horizontal;v-text-anchor:top;mso-fit-shape-to-text:t;">
                <w:txbxContent>
                  <w:p>
                    <w:pPr>
                      <w:widowControl w:val="0"/>
                      <w:tabs>
                        <w:tab w:val="center" w:pos="4153"/>
                        <w:tab w:val="right" w:pos="8306"/>
                      </w:tabs>
                      <w:snapToGrid w:val="0"/>
                      <w:jc w:val="left"/>
                      <w:rPr>
                        <w:rFonts w:ascii="Calibri" w:eastAsia="宋体" w:cs="Times New Roman" w:hAnsi="Calibri"/>
                        <w:kern w:val="2"/>
                        <w:sz w:val="18"/>
                        <w:szCs w:val="24"/>
                        <w:lang w:val="en-US" w:eastAsia="zh-CN" w:bidi="ar-SA"/>
                      </w:rPr>
                    </w:pPr>
                    <w:r>
                      <w:rPr>
                        <w:rFonts w:ascii="Calibri" w:eastAsia="宋体" w:cs="Times New Roman" w:hAnsi="Calibri"/>
                        <w:kern w:val="2"/>
                        <w:sz w:val="18"/>
                        <w:szCs w:val="24"/>
                        <w:lang w:val="en-US" w:eastAsia="zh-CN" w:bidi="ar-SA"/>
                      </w:rPr>
                      <w:fldChar w:fldCharType="begin"/>
                    </w:r>
                    <w:r>
                      <w:rPr>
                        <w:rFonts w:ascii="Calibri" w:eastAsia="宋体" w:cs="Times New Roman" w:hAnsi="Calibri"/>
                        <w:kern w:val="2"/>
                        <w:sz w:val="18"/>
                        <w:szCs w:val="24"/>
                        <w:lang w:val="en-US" w:eastAsia="zh-CN" w:bidi="ar-SA"/>
                      </w:rPr>
                      <w:instrText xml:space="preserve"> PAGE  \* MERGEFORMAT </w:instrText>
                    </w:r>
                    <w:r>
                      <w:rPr>
                        <w:rFonts w:ascii="Calibri" w:eastAsia="宋体" w:cs="Times New Roman" w:hAnsi="Calibri"/>
                        <w:kern w:val="2"/>
                        <w:sz w:val="18"/>
                        <w:szCs w:val="24"/>
                        <w:lang w:val="en-US" w:eastAsia="zh-CN" w:bidi="ar-SA"/>
                      </w:rPr>
                      <w:fldChar w:fldCharType="separate"/>
                    </w:r>
                    <w:r>
                      <w:rPr>
                        <w:rFonts w:ascii="Calibri" w:eastAsia="宋体" w:cs="Times New Roman" w:hAnsi="Calibri"/>
                        <w:kern w:val="2"/>
                        <w:sz w:val="18"/>
                        <w:szCs w:val="24"/>
                        <w:lang w:val="en-US" w:eastAsia="zh-CN" w:bidi="ar-SA"/>
                      </w:rPr>
                      <w:t>86</w:t>
                    </w:r>
                    <w:r>
                      <w:rPr>
                        <w:rFonts w:ascii="Calibri" w:eastAsia="宋体" w:cs="Times New Roman" w:hAnsi="Calibri"/>
                        <w:kern w:val="2"/>
                        <w:sz w:val="18"/>
                        <w:szCs w:val="24"/>
                        <w:lang w:val="en-US" w:eastAsia="zh-CN" w:bidi="ar-SA"/>
                      </w:rPr>
                      <w:fldChar w:fldCharType="end"/>
                    </w:r>
                  </w:p>
                </w:txbxContent>
              </v:textbox>
            </v:shape>
          </w:pict>
        </mc:Fallback>
      </mc:AlternateContent>
    </w:r>
    <w:r>
      <w:rPr>
        <w:rFonts w:ascii="Calibri" w:eastAsia="仿宋" w:cs="Times New Roman" w:hAnsi="Calibri" w:hint="eastAsia"/>
        <w:kern w:val="2"/>
        <w:sz w:val="32"/>
        <w:szCs w:val="48"/>
        <w:lang w:val="en-US" w:eastAsia="zh-CN" w:bidi="ar-SA"/>
      </w:rPr>
      <w:t xml:space="preserve">  </w:t>
    </w:r>
  </w:p>
  <w:p>
    <w:pPr>
      <w:widowControl w:val="0"/>
      <w:pBdr>
        <w:top w:val="none" w:sz="0" w:space="0" w:color="auto"/>
        <w:left w:val="none" w:sz="0" w:space="0" w:color="auto"/>
        <w:bottom w:val="none" w:sz="0" w:space="0" w:color="auto"/>
        <w:right w:val="none" w:sz="0" w:space="0" w:color="auto"/>
      </w:pBdr>
      <w:tabs>
        <w:tab w:val="center" w:pos="4153"/>
        <w:tab w:val="right" w:pos="8306"/>
      </w:tabs>
      <w:wordWrap w:val="0"/>
      <w:snapToGrid w:val="0"/>
      <w:spacing w:line="240" w:lineRule="auto"/>
      <w:ind w:leftChars="2280" w:left="4788" w:firstLineChars="2000" w:firstLine="6400"/>
      <w:jc w:val="right"/>
      <w:outlineLvl w:val="9"/>
      <w:rPr>
        <w:rFonts w:ascii="宋体" w:eastAsia="宋体" w:cs="宋体" w:hAnsi="宋体" w:hint="eastAsia"/>
        <w:b/>
        <w:bCs/>
        <w:color w:val="005192"/>
        <w:kern w:val="2"/>
        <w:sz w:val="28"/>
        <w:szCs w:val="44"/>
        <w:lang w:val="en-US" w:eastAsia="zh-CN" w:bidi="ar-SA"/>
      </w:rPr>
    </w:pPr>
    <w:r>
      <w:rPr>
        <w:rFonts w:ascii="Calibri" w:eastAsia="仿宋" w:cs="Times New Roman" w:hAnsi="Calibri" w:hint="eastAsia"/>
        <w:color w:val="FAFAFA"/>
        <w:kern w:val="2"/>
        <w:sz w:val="32"/>
        <w:szCs w:val="48"/>
        <w:lang w:val="en-US" w:eastAsia="zh-CN" w:bidi="ar-SA"/>
      </w:rPr>
      <w:t>X</w:t>
    </w:r>
  </w:p>
  <w:p>
    <w:pPr>
      <w:widowControl w:val="0"/>
      <w:pBdr>
        <w:top w:val="none" w:sz="0" w:space="0" w:color="auto"/>
        <w:left w:val="none" w:sz="0" w:space="0" w:color="auto"/>
        <w:bottom w:val="none" w:sz="0" w:space="0" w:color="auto"/>
        <w:right w:val="none" w:sz="0" w:space="0" w:color="auto"/>
      </w:pBdr>
      <w:tabs>
        <w:tab w:val="center" w:pos="4153"/>
        <w:tab w:val="right" w:pos="8306"/>
      </w:tabs>
      <w:wordWrap w:val="0"/>
      <w:snapToGrid w:val="0"/>
      <w:spacing w:line="240" w:lineRule="auto"/>
      <w:ind w:leftChars="2280" w:left="4788" w:firstLineChars="2000" w:firstLine="5600"/>
      <w:jc w:val="right"/>
      <w:outlineLvl w:val="9"/>
      <w:rPr>
        <w:rFonts w:ascii="宋体" w:eastAsia="宋体" w:cs="宋体" w:hAnsi="宋体"/>
        <w:b/>
        <w:bCs/>
        <w:color w:val="005192"/>
        <w:kern w:val="2"/>
        <w:sz w:val="28"/>
        <w:szCs w:val="44"/>
        <w:lang w:val="en-US" w:eastAsia="zh-CN" w:bidi="ar-SA"/>
      </w:rPr>
    </w:pPr>
  </w:p>
</w:ftr>
</file>

<file path=word/footer7.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widowControl w:val="0"/>
      <w:tabs>
        <w:tab w:val="center" w:pos="4153"/>
        <w:tab w:val="right" w:pos="8306"/>
      </w:tabs>
      <w:snapToGrid w:val="0"/>
      <w:jc w:val="right"/>
      <w:rPr>
        <w:rFonts w:ascii="Times New Roman" w:eastAsia="仿宋" w:cs="Times New Roman" w:hAnsi="Times New Roman"/>
        <w:kern w:val="2"/>
        <w:sz w:val="18"/>
        <w:szCs w:val="18"/>
        <w:lang w:val="en-US" w:eastAsia="zh-CN" w:bidi="ar-SA"/>
      </w:rPr>
    </w:pPr>
    <w:r>
      <w:rPr>
        <w:sz w:val="18"/>
      </w:rPr>
      <mc:AlternateContent>
        <mc:Choice Requires="wps">
          <w:drawing>
            <wp:anchor distT="0" distB="0" distL="114298" distR="114298" simplePos="0" relativeHeight="31" behindDoc="0" locked="0" layoutInCell="1" hidden="0" allowOverlap="1">
              <wp:simplePos x="0" y="0"/>
              <wp:positionH relativeFrom="margin">
                <wp:align>center</wp:align>
              </wp:positionH>
              <wp:positionV relativeFrom="paragraph">
                <wp:posOffset>0</wp:posOffset>
              </wp:positionV>
              <wp:extent cx="173850" cy="139560"/>
              <wp:effectExtent l="0" t="0" r="0" b="0"/>
              <wp:wrapNone/>
              <wp:docPr id="22" name="文本框 4"/>
              <wp:cNvGraphicFramePr>
                <a:graphicFrameLocks noChangeAspect="0"/>
              </wp:cNvGraphicFramePr>
              <a:graphic>
                <a:graphicData uri="http://schemas.microsoft.com/office/word/2010/wordprocessingShape">
                  <wps:wsp>
                    <wps:cNvSpPr/>
                    <wps:spPr>
                      <a:xfrm rot="0">
                        <a:off x="0" y="0"/>
                        <a:ext cx="173850" cy="139560"/>
                      </a:xfrm>
                      <a:prstGeom prst="rect"/>
                      <a:noFill/>
                      <a:ln w="6350" cmpd="sng" cap="flat">
                        <a:noFill/>
                        <a:prstDash val="solid"/>
                        <a:round/>
                      </a:ln>
                    </wps:spPr>
                    <wps:txbx id="23">
                      <w:txbxContent>
                        <w:p>
                          <w:pPr>
                            <w:pStyle w:val="21"/>
                            <w:tabs>
                              <w:tab w:val="center" w:pos="4153"/>
                              <w:tab w:val="right" w:pos="8306"/>
                            </w:tabs>
                          </w:pPr>
                          <w:r>
                            <w:fldChar w:fldCharType="begin"/>
                          </w:r>
                          <w:r>
                            <w:instrText xml:space="preserve"> PAGE  \* MERGEFORMAT </w:instrText>
                          </w:r>
                          <w:r>
                            <w:fldChar w:fldCharType="separate"/>
                          </w:r>
                          <w:r>
                            <w:t>103</w:t>
                          </w:r>
                          <w:r>
                            <w:fldChar w:fldCharType="end"/>
                          </w:r>
                        </w:p>
                      </w:txbxContent>
                    </wps:txbx>
                    <wps:bodyPr vert="horz" wrap="none" lIns="0" tIns="0" rIns="0" bIns="0" anchor="t" anchorCtr="0" upright="0">
                      <a:spAutoFit/>
                    </wps:bodyPr>
                  </wps:wsp>
                </a:graphicData>
              </a:graphic>
            </wp:anchor>
          </w:drawing>
        </mc:Choice>
        <mc:Fallback>
          <w:pict>
            <v:shape type="#_x0000_t202" id="文本框 4 24" o:spid="_x0000_s24" filled="f" stroked="f" strokeweight="0.5pt" style="position:absolute;margin-left:0.0pt;margin-top:0.0pt;width:13.688996pt;height:10.988999pt;z-index:31;mso-position-horizontal:center;mso-position-horizontal-relative:margin;mso-position-vertical:absolute;mso-wrap-distance-left:8.999863pt;mso-wrap-distance-right:8.999863pt;mso-wrap-style:none;">
              <v:stroke color="#000000"/>
              <v:textbox id="855" inset="0mm,0mm,0mm,0mm" o:insetmode="custom" style="layout-flow:horizontal;v-text-anchor:top;mso-fit-shape-to-text:t;">
                <w:txbxContent>
                  <w:p>
                    <w:pPr>
                      <w:pStyle w:val="21"/>
                      <w:tabs>
                        <w:tab w:val="center" w:pos="4153"/>
                        <w:tab w:val="right" w:pos="8306"/>
                      </w:tabs>
                    </w:pPr>
                    <w:r>
                      <w:fldChar w:fldCharType="begin"/>
                    </w:r>
                    <w:r>
                      <w:instrText xml:space="preserve"> PAGE  \* MERGEFORMAT </w:instrText>
                    </w:r>
                    <w:r>
                      <w:fldChar w:fldCharType="separate"/>
                    </w:r>
                    <w:r>
                      <w:t>103</w:t>
                    </w:r>
                    <w:r>
                      <w:fldChar w:fldCharType="end"/>
                    </w:r>
                  </w:p>
                </w:txbxContent>
              </v:textbox>
            </v:shape>
          </w:pict>
        </mc:Fallback>
      </mc:AlternateContent>
    </w:r>
  </w:p>
  <w:p>
    <w:pPr>
      <w:widowControl w:val="0"/>
      <w:tabs>
        <w:tab w:val="center" w:pos="4153"/>
        <w:tab w:val="right" w:pos="8306"/>
      </w:tabs>
      <w:snapToGrid w:val="0"/>
      <w:jc w:val="left"/>
      <w:rPr>
        <w:rFonts w:ascii="Times New Roman" w:eastAsia="仿宋" w:cs="Times New Roman" w:hAnsi="Times New Roman"/>
        <w:kern w:val="2"/>
        <w:sz w:val="18"/>
        <w:szCs w:val="18"/>
        <w:lang w:val="en-US" w:eastAsia="zh-CN" w:bidi="ar-SA"/>
      </w:rPr>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pBdr>
        <w:bottom w:val="none" w:sz="0" w:space="0" w:color="auto"/>
      </w:pBdr>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widowControl w:val="0"/>
      <w:pBdr>
        <w:top w:val="none" w:sz="0" w:space="0" w:color="auto"/>
        <w:left w:val="none" w:sz="0" w:space="0" w:color="auto"/>
        <w:bottom w:val="none" w:sz="0" w:space="0" w:color="auto"/>
        <w:right w:val="none" w:sz="0" w:space="0" w:color="auto"/>
      </w:pBdr>
      <w:tabs>
        <w:tab w:val="center" w:pos="4153"/>
        <w:tab w:val="right" w:pos="8306"/>
      </w:tabs>
      <w:snapToGrid w:val="0"/>
      <w:spacing w:line="240" w:lineRule="auto"/>
      <w:jc w:val="both"/>
      <w:textAlignment w:val="center"/>
      <w:outlineLvl w:val="9"/>
      <w:rPr>
        <w:rFonts w:ascii="宋体" w:eastAsia="宋体" w:cs="宋体" w:hAnsi="宋体"/>
        <w:b/>
        <w:bCs/>
        <w:color w:val="005192"/>
        <w:kern w:val="2"/>
        <w:sz w:val="32"/>
        <w:szCs w:val="24"/>
        <w:lang w:eastAsia="zh-CN" w:bidi="ar-SA"/>
      </w:rPr>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569B9F4F"/>
    <w:multiLevelType w:val="singleLevel"/>
    <w:tmpl w:val="569B9F4F"/>
    <w:lvl w:ilvl="0">
      <w:start w:val="1"/>
      <w:numFmt w:val="chineseCountingThousand"/>
      <w:lvlRestart w:val="0"/>
      <w:lvlText w:val="第%1条"/>
      <w:lvlJc w:val="left"/>
      <w:pPr>
        <w:tabs>
          <w:tab w:val="num" w:pos="420"/>
        </w:tabs>
        <w:ind w:left="420" w:hanging="420"/>
      </w:pPr>
      <w:rPr>
        <w:rFonts w:eastAsia="黑体" w:hint="eastAsia"/>
        <w:b/>
        <w:i w:val="0"/>
        <w:sz w:val="32"/>
        <w:szCs w:val="32"/>
      </w:rPr>
    </w:lvl>
  </w:abstractNum>
  <w:abstractNum w:abstractNumId="1">
    <w:nsid w:val="56A3979D"/>
    <w:multiLevelType w:val="singleLevel"/>
    <w:tmpl w:val="56A3979D"/>
    <w:lvl w:ilvl="0">
      <w:start w:val="1"/>
      <w:numFmt w:val="chineseCounting"/>
      <w:lvlRestart w:val="0"/>
      <w:suff w:val="nothing"/>
      <w:lvlText w:val="（%1）"/>
      <w:lvlJc w:val="left"/>
      <w:pPr/>
      <w:rPr>
        <w:rFonts w:cs="Times New Roman"/>
      </w:rPr>
    </w:lvl>
  </w:abstractNum>
  <w:abstractNum w:abstractNumId="2">
    <w:nsid w:val="0CFA745C"/>
    <w:multiLevelType w:val="multilevel"/>
    <w:tmpl w:val="0CFA745C"/>
    <w:lvl w:ilvl="0">
      <w:start w:val="1"/>
      <w:numFmt w:val="japaneseCounting"/>
      <w:lvlRestart w:val="0"/>
      <w:lvlText w:val="第%1章"/>
      <w:lvlJc w:val="left"/>
      <w:pPr>
        <w:ind w:left="720" w:hanging="72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3">
    <w:nsid w:val="14007B09"/>
    <w:multiLevelType w:val="multilevel"/>
    <w:tmpl w:val="14007B09"/>
    <w:lvl w:ilvl="0">
      <w:start w:val="1"/>
      <w:numFmt w:val="decimal"/>
      <w:lvlRestart w:val="0"/>
      <w:lvlText w:val="%1"/>
      <w:lvlJc w:val="left"/>
      <w:pPr>
        <w:ind w:left="360" w:hanging="360"/>
      </w:pPr>
      <w:rPr>
        <w:rFonts w:ascii="黑体" w:hAnsi="黑体" w:eastAsia="黑体" w:cs="Times New Roman" w:hint="default"/>
        <w:b w:val="0"/>
        <w:color w:val="auto"/>
      </w:rPr>
    </w:lvl>
    <w:lvl w:ilvl="1">
      <w:start w:val="1"/>
      <w:numFmt w:val="decimal"/>
      <w:lvlText w:val="%1.%2"/>
      <w:lvlJc w:val="left"/>
      <w:pPr>
        <w:ind w:left="360" w:hanging="360"/>
      </w:pPr>
      <w:rPr>
        <w:rFonts w:ascii="黑体" w:hAnsi="黑体" w:eastAsia="黑体" w:cs="Times New Roman" w:hint="default"/>
        <w:b w:val="0"/>
        <w:color w:val="auto"/>
      </w:rPr>
    </w:lvl>
    <w:lvl w:ilvl="2">
      <w:start w:val="1"/>
      <w:numFmt w:val="decimal"/>
      <w:lvlText w:val="%1.%2.%3"/>
      <w:lvlJc w:val="left"/>
      <w:pPr>
        <w:ind w:left="1430" w:hanging="720"/>
      </w:pPr>
      <w:rPr>
        <w:rFonts w:ascii="仿宋_GB2312" w:hAnsi="仿宋_GB2312" w:eastAsia="仿宋_GB2312" w:cs="Times New Roman" w:hint="eastAsia"/>
        <w:b w:val="0"/>
        <w:color w:val="auto"/>
      </w:rPr>
    </w:lvl>
    <w:lvl w:ilvl="3">
      <w:start w:val="1"/>
      <w:numFmt w:val="decimal"/>
      <w:lvlText w:val="%1.%2.%3.%4"/>
      <w:lvlJc w:val="left"/>
      <w:pPr>
        <w:ind w:left="720" w:hanging="720"/>
      </w:pPr>
      <w:rPr>
        <w:rFonts w:ascii="Times New Roman" w:hAnsi="Times New Roman" w:cs="Times New Roman" w:hint="default"/>
        <w:b w:val="0"/>
        <w:color w:val="auto"/>
      </w:rPr>
    </w:lvl>
    <w:lvl w:ilvl="4">
      <w:start w:val="1"/>
      <w:numFmt w:val="decimal"/>
      <w:lvlText w:val="%1.%2.%3.%4.%5"/>
      <w:lvlJc w:val="left"/>
      <w:pPr>
        <w:ind w:left="1080" w:hanging="1080"/>
      </w:pPr>
      <w:rPr>
        <w:rFonts w:ascii="Times New Roman" w:hAnsi="Times New Roman" w:cs="Times New Roman" w:hint="default"/>
        <w:b w:val="0"/>
        <w:color w:val="auto"/>
      </w:rPr>
    </w:lvl>
    <w:lvl w:ilvl="5">
      <w:start w:val="1"/>
      <w:numFmt w:val="decimal"/>
      <w:lvlText w:val="%1.%2.%3.%4.%5.%6"/>
      <w:lvlJc w:val="left"/>
      <w:pPr>
        <w:ind w:left="1080" w:hanging="1080"/>
      </w:pPr>
      <w:rPr>
        <w:rFonts w:ascii="Times New Roman" w:hAnsi="Times New Roman" w:cs="Times New Roman" w:hint="default"/>
        <w:b w:val="0"/>
        <w:color w:val="auto"/>
      </w:rPr>
    </w:lvl>
    <w:lvl w:ilvl="6">
      <w:start w:val="1"/>
      <w:numFmt w:val="decimal"/>
      <w:lvlText w:val="%1.%2.%3.%4.%5.%6.%7"/>
      <w:lvlJc w:val="left"/>
      <w:pPr>
        <w:ind w:left="1080" w:hanging="1080"/>
      </w:pPr>
      <w:rPr>
        <w:rFonts w:ascii="Times New Roman" w:hAnsi="Times New Roman" w:cs="Times New Roman" w:hint="default"/>
        <w:b w:val="0"/>
        <w:color w:val="auto"/>
      </w:rPr>
    </w:lvl>
    <w:lvl w:ilvl="7">
      <w:start w:val="1"/>
      <w:numFmt w:val="decimal"/>
      <w:lvlText w:val="%1.%2.%3.%4.%5.%6.%7.%8"/>
      <w:lvlJc w:val="left"/>
      <w:pPr>
        <w:ind w:left="1440" w:hanging="1440"/>
      </w:pPr>
      <w:rPr>
        <w:rFonts w:ascii="Times New Roman" w:hAnsi="Times New Roman" w:cs="Times New Roman" w:hint="default"/>
        <w:b w:val="0"/>
        <w:color w:val="auto"/>
      </w:rPr>
    </w:lvl>
    <w:lvl w:ilvl="8">
      <w:start w:val="1"/>
      <w:numFmt w:val="decimal"/>
      <w:lvlText w:val="%1.%2.%3.%4.%5.%6.%7.%8.%9"/>
      <w:lvlJc w:val="left"/>
      <w:pPr>
        <w:ind w:left="1440" w:hanging="1440"/>
      </w:pPr>
      <w:rPr>
        <w:rFonts w:ascii="Times New Roman" w:hAnsi="Times New Roman" w:cs="Times New Roman" w:hint="default"/>
        <w:b w:val="0"/>
        <w:color w:val="auto"/>
      </w:rPr>
    </w:lvl>
  </w:abstractNum>
  <w:abstractNum w:abstractNumId="4">
    <w:nsid w:val="F27F8359"/>
    <w:multiLevelType w:val="singleLevel"/>
    <w:tmpl w:val="F27F8359"/>
    <w:lvl w:ilvl="0">
      <w:start w:val="1"/>
      <w:numFmt w:val="decimal"/>
      <w:lvlRestart w:val="0"/>
      <w:suff w:val="nothing"/>
      <w:lvlText w:val="%1．"/>
      <w:lvlJc w:val="left"/>
      <w:pPr>
        <w:ind w:left="0" w:firstLine="400"/>
      </w:pPr>
      <w:rPr>
        <w:rFonts w:hint="default"/>
      </w:rPr>
    </w:lvl>
  </w:abstractNum>
  <w:abstractNum w:abstractNumId="5">
    <w:nsid w:val="E7905235"/>
    <w:multiLevelType w:val="singleLevel"/>
    <w:tmpl w:val="E7905235"/>
    <w:lvl w:ilvl="0">
      <w:start w:val="1"/>
      <w:numFmt w:val="chineseCounting"/>
      <w:lvlRestart w:val="0"/>
      <w:suff w:val="nothing"/>
      <w:lvlText w:val="（%1）"/>
      <w:lvlJc w:val="left"/>
      <w:pPr/>
      <w:rPr>
        <w:rFonts w:hint="eastAsia"/>
      </w:rPr>
    </w:lvl>
  </w:abstractNum>
  <w:abstractNum w:abstractNumId="6">
    <w:nsid w:val="58F2E30A"/>
    <w:multiLevelType w:val="singleLevel"/>
    <w:tmpl w:val="58F2E30A"/>
    <w:lvl w:ilvl="0">
      <w:start w:val="5"/>
      <w:numFmt w:val="chineseCounting"/>
      <w:lvlRestart w:val="0"/>
      <w:suff w:val="nothing"/>
      <w:lvlText w:val="（%1）"/>
      <w:lvlJc w:val="left"/>
      <w:pPr/>
      <w:rPr>
        <w:rFonts w:hint="eastAsi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89"/>
  <w:bordersDoNotSurroundHeader/>
  <w:bordersDoNotSurroundFooter/>
  <w:documentProtection w:edit="readOnly" w:enforcement="0"/>
  <w:defaultTabStop w:val="420"/>
  <w:drawingGridHorizontalSpacing w:val="105"/>
  <w:drawingGridVerticalSpacing w:val="159"/>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Calibri" w:eastAsia="宋体" w:cs="Arial" w:hAnsi="Times New Roman"/>
      <w:kern w:val="2"/>
      <w:sz w:val="21"/>
      <w:szCs w:val="22"/>
      <w:lang w:val="en-US" w:eastAsia="zh-CN" w:bidi="ar-SA"/>
    </w:rPr>
  </w:style>
  <w:style w:type="paragraph" w:styleId="1">
    <w:name w:val="heading 1"/>
    <w:basedOn w:val="0"/>
    <w:next w:val="0"/>
    <w:pPr>
      <w:keepNext/>
      <w:keepLines/>
      <w:widowControl w:val="0"/>
      <w:spacing w:before="340" w:after="330" w:line="578" w:lineRule="auto"/>
      <w:outlineLvl w:val="0"/>
    </w:pPr>
    <w:rPr>
      <w:rFonts w:ascii="Times New Roman" w:eastAsia="宋体" w:cs="Times New Roman" w:hAnsi="Times New Roman"/>
      <w:b/>
      <w:bCs/>
      <w:kern w:val="44"/>
      <w:sz w:val="44"/>
      <w:szCs w:val="44"/>
    </w:rPr>
  </w:style>
  <w:style w:type="paragraph" w:styleId="2">
    <w:name w:val="heading 2"/>
    <w:basedOn w:val="0"/>
    <w:next w:val="0"/>
    <w:pPr>
      <w:keepNext/>
      <w:keepLines/>
      <w:widowControl w:val="0"/>
      <w:spacing w:before="260" w:after="260" w:line="415" w:lineRule="auto"/>
      <w:outlineLvl w:val="1"/>
    </w:pPr>
    <w:rPr>
      <w:rFonts w:ascii="Cambria" w:eastAsia="宋体" w:cs="黑体" w:hAnsi="Cambria"/>
      <w:b/>
      <w:bCs/>
      <w:sz w:val="32"/>
      <w:szCs w:val="32"/>
    </w:rPr>
  </w:style>
  <w:style w:type="paragraph" w:styleId="3">
    <w:name w:val="heading 3"/>
    <w:basedOn w:val="0"/>
    <w:next w:val="0"/>
    <w:pPr>
      <w:widowControl/>
      <w:jc w:val="left"/>
      <w:outlineLvl w:val="2"/>
    </w:pPr>
    <w:rPr>
      <w:rFonts w:ascii="宋体" w:eastAsia="宋体" w:cs="宋体" w:hAnsi="宋体"/>
      <w:b/>
      <w:bCs/>
      <w:kern w:val="0"/>
      <w:sz w:val="27"/>
      <w:szCs w:val="27"/>
    </w:rPr>
  </w:style>
  <w:style w:type="character" w:default="1" w:styleId="10">
    <w:name w:val="Default Paragraph Font"/>
  </w:style>
  <w:style w:type="paragraph" w:styleId="15">
    <w:name w:val="annotation text"/>
    <w:basedOn w:val="0"/>
    <w:pPr>
      <w:jc w:val="left"/>
    </w:pPr>
    <w:rPr>
      <w:rFonts w:ascii="Calibri" w:eastAsia="宋体" w:cs="Times New Roman" w:hAnsi="Calibri"/>
      <w:sz w:val="24"/>
      <w:szCs w:val="20"/>
    </w:rPr>
  </w:style>
  <w:style w:type="paragraph" w:customStyle="1" w:styleId="16">
    <w:name w:val="Default"/>
    <w:pPr>
      <w:widowControl w:val="0"/>
      <w:autoSpaceDE w:val="0"/>
      <w:autoSpaceDN w:val="0"/>
      <w:adjustRightInd w:val="0"/>
    </w:pPr>
    <w:rPr>
      <w:rFonts w:ascii="黑体" w:eastAsia="黑体" w:cs="黑体" w:hAnsi="Calibri"/>
      <w:color w:val="000000"/>
      <w:kern w:val="0"/>
      <w:sz w:val="24"/>
      <w:szCs w:val="24"/>
      <w:lang w:val="en-US" w:eastAsia="zh-CN" w:bidi="ar-SA"/>
    </w:rPr>
  </w:style>
  <w:style w:type="paragraph" w:styleId="17">
    <w:name w:val="Body Text"/>
    <w:basedOn w:val="16"/>
    <w:next w:val="16"/>
    <w:rPr>
      <w:color w:val="auto"/>
      <w:kern w:val="2"/>
    </w:rPr>
  </w:style>
  <w:style w:type="paragraph" w:styleId="18">
    <w:name w:val="Date"/>
    <w:basedOn w:val="0"/>
    <w:next w:val="0"/>
    <w:pPr>
      <w:ind w:leftChars="2500" w:left="2500"/>
    </w:pPr>
  </w:style>
  <w:style w:type="paragraph" w:styleId="19">
    <w:name w:val="Body Text Indent 2"/>
    <w:basedOn w:val="0"/>
    <w:pPr>
      <w:spacing w:after="120" w:line="480" w:lineRule="auto"/>
      <w:ind w:leftChars="200" w:left="200"/>
    </w:pPr>
    <w:rPr>
      <w:rFonts w:ascii="Calibri" w:eastAsia="宋体" w:cs="黑体" w:hAnsi="Calibri"/>
    </w:rPr>
  </w:style>
  <w:style w:type="paragraph" w:styleId="20">
    <w:name w:val="Balloon Text"/>
    <w:basedOn w:val="0"/>
    <w:rPr>
      <w:sz w:val="18"/>
      <w:szCs w:val="18"/>
    </w:rPr>
  </w:style>
  <w:style w:type="paragraph" w:styleId="21">
    <w:name w:val="footer"/>
    <w:basedOn w:val="0"/>
    <w:pPr>
      <w:tabs>
        <w:tab w:val="center" w:pos="4153"/>
        <w:tab w:val="right" w:pos="8306"/>
      </w:tabs>
      <w:snapToGrid w:val="0"/>
      <w:jc w:val="left"/>
    </w:pPr>
    <w:rPr>
      <w:sz w:val="18"/>
      <w:szCs w:val="18"/>
    </w:rPr>
  </w:style>
  <w:style w:type="paragraph" w:styleId="22">
    <w:name w:val="header"/>
    <w:basedOn w:val="0"/>
    <w:pPr>
      <w:pBdr>
        <w:bottom w:val="single" w:sz="6" w:space="1" w:color="auto"/>
      </w:pBdr>
      <w:tabs>
        <w:tab w:val="center" w:pos="4153"/>
        <w:tab w:val="right" w:pos="8306"/>
      </w:tabs>
      <w:snapToGrid w:val="0"/>
      <w:jc w:val="center"/>
    </w:pPr>
    <w:rPr>
      <w:sz w:val="18"/>
      <w:szCs w:val="18"/>
    </w:rPr>
  </w:style>
  <w:style w:type="paragraph" w:styleId="23">
    <w:name w:val="toc 1"/>
    <w:basedOn w:val="0"/>
    <w:next w:val="0"/>
    <w:pPr>
      <w:tabs>
        <w:tab w:val="left" w:pos="420"/>
        <w:tab w:val="right" w:leader="dot" w:pos="9017"/>
      </w:tabs>
      <w:spacing w:line="360" w:lineRule="auto"/>
    </w:pPr>
    <w:rPr>
      <w:rFonts w:ascii="Calibri" w:eastAsia="宋体" w:cs="Times New Roman" w:hAnsi="Calibri"/>
    </w:rPr>
  </w:style>
  <w:style w:type="paragraph" w:styleId="24">
    <w:name w:val="toc 2"/>
    <w:basedOn w:val="0"/>
    <w:autoRedefine/>
    <w:next w:val="0"/>
    <w:pPr>
      <w:widowControl/>
      <w:tabs>
        <w:tab w:val="right" w:leader="dot" w:pos="8296"/>
      </w:tabs>
      <w:spacing w:after="100" w:line="320" w:lineRule="exact"/>
      <w:jc w:val="left"/>
    </w:pPr>
    <w:rPr>
      <w:rFonts w:ascii="黑体" w:eastAsia="黑体" w:hAnsi="黑体"/>
      <w:kern w:val="0"/>
      <w:sz w:val="24"/>
      <w:szCs w:val="24"/>
    </w:rPr>
  </w:style>
  <w:style w:type="paragraph" w:styleId="25">
    <w:name w:val="Normal (Web)"/>
    <w:basedOn w:val="0"/>
    <w:pPr>
      <w:widowControl/>
      <w:spacing w:before="100" w:beforeAutospacing="1" w:after="100" w:afterAutospacing="1"/>
      <w:jc w:val="left"/>
    </w:pPr>
    <w:rPr>
      <w:rFonts w:ascii="宋体" w:eastAsia="宋体" w:cs="Times New Roman" w:hAnsi="宋体"/>
      <w:kern w:val="0"/>
      <w:sz w:val="24"/>
    </w:rPr>
  </w:style>
  <w:style w:type="paragraph" w:styleId="26">
    <w:name w:val="Title"/>
    <w:basedOn w:val="0"/>
    <w:next w:val="0"/>
    <w:pPr>
      <w:spacing w:before="240" w:after="60"/>
      <w:jc w:val="center"/>
      <w:outlineLvl w:val="0"/>
    </w:pPr>
    <w:rPr>
      <w:rFonts w:ascii="Cambria" w:eastAsia="Times New Roman" w:cs="Times New Roman" w:hAnsi="Cambria"/>
      <w:b/>
      <w:bCs/>
      <w:sz w:val="30"/>
      <w:szCs w:val="32"/>
    </w:rPr>
  </w:style>
  <w:style w:type="character" w:styleId="27">
    <w:name w:val="Strong"/>
    <w:basedOn w:val="10"/>
    <w:rPr>
      <w:b/>
      <w:bCs/>
    </w:rPr>
  </w:style>
  <w:style w:type="character" w:styleId="28">
    <w:name w:val="page number"/>
    <w:basedOn w:val="10"/>
  </w:style>
  <w:style w:type="character" w:styleId="29">
    <w:name w:val="FollowedHyperlink"/>
    <w:basedOn w:val="10"/>
    <w:rPr>
      <w:color w:val="800080"/>
      <w:u w:val="single"/>
    </w:rPr>
  </w:style>
  <w:style w:type="character" w:styleId="30">
    <w:name w:val="Emphasis"/>
    <w:basedOn w:val="10"/>
  </w:style>
  <w:style w:type="character" w:styleId="31">
    <w:name w:val="HTML Definition"/>
    <w:basedOn w:val="10"/>
  </w:style>
  <w:style w:type="character" w:styleId="32">
    <w:name w:val="HTML Variable"/>
    <w:basedOn w:val="10"/>
  </w:style>
  <w:style w:type="character" w:styleId="33">
    <w:name w:val="Hyperlink"/>
    <w:basedOn w:val="10"/>
    <w:rPr>
      <w:color w:val="0000FF"/>
      <w:u w:val="single"/>
    </w:rPr>
  </w:style>
  <w:style w:type="character" w:styleId="34">
    <w:name w:val="HTML Code"/>
    <w:basedOn w:val="10"/>
    <w:rPr>
      <w:rFonts w:ascii="Courier New" w:eastAsia="Courier New" w:cs="Courier New" w:hAnsi="Courier New"/>
      <w:sz w:val="20"/>
    </w:rPr>
  </w:style>
  <w:style w:type="character" w:styleId="35">
    <w:name w:val="HTML Cite"/>
    <w:basedOn w:val="10"/>
  </w:style>
  <w:style w:type="character" w:styleId="36">
    <w:name w:val="HTML Keyboard"/>
    <w:basedOn w:val="10"/>
    <w:rPr>
      <w:rFonts w:ascii="Courier New" w:eastAsia="Courier New" w:cs="Courier New" w:hAnsi="Courier New"/>
      <w:sz w:val="20"/>
    </w:rPr>
  </w:style>
  <w:style w:type="character" w:styleId="37">
    <w:name w:val="HTML Sample"/>
    <w:basedOn w:val="10"/>
    <w:rPr>
      <w:rFonts w:ascii="Courier New" w:eastAsia="Courier New" w:cs="Courier New" w:hAnsi="Courier New"/>
    </w:rPr>
  </w:style>
  <w:style w:type="character" w:customStyle="1" w:styleId="38">
    <w:name w:val="fontstyle01"/>
    <w:basedOn w:val="10"/>
    <w:rPr>
      <w:rFonts w:ascii="FZHTK--GBK1-0" w:hAnsi="FZHTK--GBK1-0"/>
      <w:color w:val="000000"/>
      <w:sz w:val="32"/>
      <w:szCs w:val="32"/>
    </w:rPr>
  </w:style>
  <w:style w:type="character" w:customStyle="1" w:styleId="39">
    <w:name w:val="fontstyle21"/>
    <w:basedOn w:val="10"/>
    <w:rPr>
      <w:rFonts w:ascii="FZXBSK--GBK1-0" w:hAnsi="FZXBSK--GBK1-0"/>
      <w:color w:val="000000"/>
      <w:sz w:val="48"/>
      <w:szCs w:val="48"/>
    </w:rPr>
  </w:style>
  <w:style w:type="character" w:customStyle="1" w:styleId="40">
    <w:name w:val="fontstyle31"/>
    <w:basedOn w:val="10"/>
    <w:rPr>
      <w:rFonts w:ascii="FZKTK--GBK1-0" w:hAnsi="FZKTK--GBK1-0"/>
      <w:color w:val="000000"/>
      <w:sz w:val="44"/>
      <w:szCs w:val="44"/>
    </w:rPr>
  </w:style>
  <w:style w:type="character" w:customStyle="1" w:styleId="41">
    <w:name w:val="fontstyle41"/>
    <w:basedOn w:val="10"/>
    <w:rPr>
      <w:rFonts w:ascii="TimesNewRomanPSMT" w:hAnsi="TimesNewRomanPSMT"/>
      <w:color w:val="000000"/>
      <w:sz w:val="44"/>
      <w:szCs w:val="44"/>
    </w:rPr>
  </w:style>
  <w:style w:type="character" w:customStyle="1" w:styleId="42">
    <w:name w:val="批注文字 Char"/>
    <w:basedOn w:val="10"/>
  </w:style>
  <w:style w:type="character" w:customStyle="1" w:styleId="43">
    <w:name w:val="bds_more2"/>
    <w:basedOn w:val="10"/>
    <w:rPr>
      <w:rFonts w:ascii="宋体" w:eastAsia="宋体" w:cs="宋体" w:hAnsi="宋体"/>
    </w:rPr>
  </w:style>
  <w:style w:type="character" w:customStyle="1" w:styleId="44">
    <w:name w:val="bds_nopic1"/>
    <w:basedOn w:val="10"/>
  </w:style>
  <w:style w:type="character" w:customStyle="1" w:styleId="45">
    <w:name w:val="bds_more1"/>
    <w:basedOn w:val="10"/>
  </w:style>
  <w:style w:type="character" w:customStyle="1" w:styleId="46">
    <w:name w:val="apple-converted-space"/>
    <w:basedOn w:val="10"/>
  </w:style>
  <w:style w:type="character" w:customStyle="1" w:styleId="47">
    <w:name w:val="bds_more"/>
    <w:basedOn w:val="10"/>
  </w:style>
  <w:style w:type="character" w:customStyle="1" w:styleId="48">
    <w:name w:val="bds_nopic"/>
    <w:basedOn w:val="10"/>
  </w:style>
  <w:style w:type="character" w:customStyle="1" w:styleId="49">
    <w:name w:val="批注框文本 Char1"/>
    <w:basedOn w:val="10"/>
    <w:rPr>
      <w:sz w:val="18"/>
      <w:szCs w:val="18"/>
    </w:rPr>
  </w:style>
  <w:style w:type="character" w:customStyle="1" w:styleId="50">
    <w:name w:val="bds_nopic2"/>
    <w:basedOn w:val="10"/>
  </w:style>
  <w:style w:type="character" w:customStyle="1" w:styleId="51">
    <w:name w:val="fontsize"/>
    <w:basedOn w:val="10"/>
    <w:rPr>
      <w:color w:val="444444"/>
    </w:rPr>
  </w:style>
  <w:style w:type="paragraph" w:customStyle="1" w:styleId="52">
    <w:name w:val="列出段落1"/>
    <w:basedOn w:val="0"/>
    <w:pPr>
      <w:ind w:firstLineChars="200" w:firstLine="200"/>
    </w:pPr>
    <w:rPr>
      <w:rFonts w:ascii="Calibri" w:eastAsia="宋体" w:cs="黑体" w:hAnsi="Calibri"/>
    </w:rPr>
  </w:style>
  <w:style w:type="paragraph" w:customStyle="1" w:styleId="53">
    <w:name w:val="表格内文字/左齐"/>
    <w:basedOn w:val="0"/>
    <w:pPr>
      <w:tabs>
        <w:tab w:val="left" w:pos="1064"/>
      </w:tabs>
      <w:spacing w:line="300" w:lineRule="auto"/>
      <w:jc w:val="left"/>
    </w:pPr>
    <w:rPr>
      <w:rFonts w:ascii="Times New Roman" w:eastAsia="宋体" w:cs="Times New Roman" w:hAnsi="Times New Roman"/>
      <w:kern w:val="0"/>
      <w:szCs w:val="21"/>
    </w:rPr>
  </w:style>
  <w:style w:type="paragraph" w:customStyle="1" w:styleId="54">
    <w:name w:val="_Style 34"/>
    <w:pPr>
      <w:ind w:firstLineChars="200" w:firstLine="200"/>
    </w:pPr>
    <w:rPr>
      <w:rFonts w:ascii="Calibri" w:eastAsia="宋体" w:cs="Times New Roman" w:hAnsi="Calibri"/>
      <w:kern w:val="0"/>
      <w:sz w:val="20"/>
      <w:szCs w:val="20"/>
      <w:lang w:val="en-US" w:eastAsia="zh-CN" w:bidi="ar-SA"/>
    </w:rPr>
  </w:style>
  <w:style w:type="paragraph" w:customStyle="1" w:styleId="55">
    <w:name w:val="List Paragraph1"/>
    <w:basedOn w:val="0"/>
    <w:pPr>
      <w:ind w:firstLineChars="200" w:firstLine="200"/>
    </w:pPr>
    <w:rPr>
      <w:rFonts w:ascii="Calibri" w:eastAsia="宋体" w:cs="Times New Roman" w:hAnsi="Calibri"/>
    </w:rPr>
  </w:style>
  <w:style w:type="character" w:customStyle="1" w:styleId="56">
    <w:name w:val="Date Char"/>
    <w:basedOn w:val="10"/>
    <w:rPr>
      <w:rFonts w:cs="Times New Roman"/>
    </w:rPr>
  </w:style>
  <w:style w:type="character" w:customStyle="1" w:styleId="57">
    <w:name w:val="Balloon Text Char"/>
    <w:basedOn w:val="10"/>
    <w:rPr>
      <w:rFonts w:ascii="Times New Roman" w:cs="Times New Roman" w:hAnsi="Times New Roman"/>
      <w:sz w:val="18"/>
      <w:szCs w:val="18"/>
    </w:rPr>
  </w:style>
  <w:style w:type="character" w:customStyle="1" w:styleId="58">
    <w:name w:val="页眉 Char1"/>
    <w:basedOn w:val="10"/>
    <w:rPr>
      <w:rFonts w:cs="Times New Roman"/>
      <w:sz w:val="18"/>
      <w:szCs w:val="18"/>
    </w:rPr>
  </w:style>
  <w:style w:type="character" w:customStyle="1" w:styleId="59">
    <w:name w:val="页脚 Char1"/>
    <w:basedOn w:val="10"/>
    <w:rPr>
      <w:rFonts w:cs="Times New Roman"/>
      <w:sz w:val="18"/>
      <w:szCs w:val="18"/>
    </w:rPr>
  </w:style>
  <w:style w:type="paragraph" w:customStyle="1" w:styleId="60">
    <w:name w:val="WW-Default"/>
    <w:pPr>
      <w:widowControl w:val="0"/>
      <w:suppressAutoHyphens/>
      <w:autoSpaceDE w:val="0"/>
    </w:pPr>
    <w:rPr>
      <w:rFonts w:ascii="Calibri" w:eastAsia="宋体" w:cs="Times New Roman" w:hAnsi="Calibri"/>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image" Target="media/14.jpeg"/><Relationship Id="rId8" Type="http://schemas.openxmlformats.org/officeDocument/2006/relationships/footer" Target="footer5.xml"/><Relationship Id="rId9" Type="http://schemas.openxmlformats.org/officeDocument/2006/relationships/header" Target="header2.xml"/><Relationship Id="rId10" Type="http://schemas.openxmlformats.org/officeDocument/2006/relationships/footer" Target="footer6.xml"/><Relationship Id="rId11" Type="http://schemas.openxmlformats.org/officeDocument/2006/relationships/footer" Target="footer7.xml"/><Relationship Id="rId12" Type="http://schemas.openxmlformats.org/officeDocument/2006/relationships/styles" Target="styl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sectPr/>
    <sectPr/>
    <sectPr/>
    <sectPr/>
    <sectPr/>
    <sectPr/>
    <sectPr/>
    <sectPr/>
    <sectPr/>
    <sectPr/>
    <sectPr/>
    <sectPr/>
  </customProps>
</customData>
</file>

<file path=customXml/itemProps1.xml><?xml version="1.0" encoding="utf-8"?>
<ds:datastoreItem xmlns:ds="http://schemas.openxmlformats.org/officeDocument/2006/customXml" ds:itemID="{31351104-92DF-4FBC-A46F-CEA37C209A9D}">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24</TotalTime>
  <Application>Yozo_Office27021597764231179</Application>
  <Pages>123</Pages>
  <Words>0</Words>
  <Characters>44941</Characters>
  <Lines>0</Lines>
  <Paragraphs>1029</Paragraphs>
  <CharactersWithSpaces>59922</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关宇刚</dc:creator>
  <cp:lastModifiedBy>user</cp:lastModifiedBy>
  <cp:revision>1</cp:revision>
  <cp:lastPrinted>2023-09-01T03:19:00Z</cp:lastPrinted>
  <dcterms:created xsi:type="dcterms:W3CDTF">2023-07-31T06:28:00Z</dcterms:created>
  <dcterms:modified xsi:type="dcterms:W3CDTF">2026-09-21T09:21:47Z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TemplateDocerSaveRecord">
    <vt:lpwstr>eyJoZGlkIjoiODFlMTZkOTRlZWQxNDc1NTdjMDQ1MzQ0ZTJmMjI1ZjkiLCJ1c2VySWQiOiIxNDE5NjAwNDIzIn0=</vt:lpwstr>
  </property>
  <property fmtid="{D5CDD505-2E9C-101B-9397-08002B2CF9AE}" pid="3" name="KSOProductBuildVer">
    <vt:lpwstr>2052-12.1.0.26895</vt:lpwstr>
  </property>
  <property fmtid="{D5CDD505-2E9C-101B-9397-08002B2CF9AE}" pid="4" name="ICV">
    <vt:lpwstr>1AF919F13C8A43B9A441638F8341F656_13</vt:lpwstr>
  </property>
</Properties>
</file>