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9B" w:rsidRPr="0030320C" w:rsidRDefault="0078339B" w:rsidP="0078339B">
      <w:pPr>
        <w:tabs>
          <w:tab w:val="left" w:pos="9193"/>
          <w:tab w:val="left" w:pos="9827"/>
        </w:tabs>
        <w:autoSpaceDE w:val="0"/>
        <w:autoSpaceDN w:val="0"/>
        <w:snapToGrid w:val="0"/>
        <w:spacing w:line="570" w:lineRule="exact"/>
        <w:jc w:val="center"/>
        <w:rPr>
          <w:rFonts w:ascii="方正小标宋简体" w:eastAsia="方正小标宋简体" w:hAnsi="方正小标宋简体" w:cs="方正小标宋简体"/>
          <w:snapToGrid w:val="0"/>
          <w:kern w:val="0"/>
          <w:sz w:val="44"/>
          <w:szCs w:val="24"/>
        </w:rPr>
      </w:pPr>
      <w:bookmarkStart w:id="0" w:name="正文"/>
      <w:r w:rsidRPr="0030320C">
        <w:rPr>
          <w:rFonts w:ascii="方正小标宋简体" w:eastAsia="方正小标宋简体" w:hAnsi="方正小标宋简体" w:cs="方正小标宋简体" w:hint="eastAsia"/>
          <w:snapToGrid w:val="0"/>
          <w:kern w:val="0"/>
          <w:sz w:val="44"/>
          <w:szCs w:val="24"/>
        </w:rPr>
        <w:t>关于印发《南京市房产行政处罚、行政强制</w:t>
      </w:r>
    </w:p>
    <w:p w:rsidR="0078339B" w:rsidRPr="0030320C" w:rsidRDefault="0078339B" w:rsidP="0078339B">
      <w:pPr>
        <w:tabs>
          <w:tab w:val="left" w:pos="9193"/>
          <w:tab w:val="left" w:pos="9827"/>
        </w:tabs>
        <w:autoSpaceDE w:val="0"/>
        <w:autoSpaceDN w:val="0"/>
        <w:snapToGrid w:val="0"/>
        <w:spacing w:line="570" w:lineRule="exact"/>
        <w:jc w:val="center"/>
        <w:rPr>
          <w:rFonts w:ascii="方正小标宋简体" w:eastAsia="方正小标宋简体" w:hAnsi="方正小标宋简体" w:cs="方正小标宋简体"/>
          <w:snapToGrid w:val="0"/>
          <w:kern w:val="0"/>
          <w:sz w:val="44"/>
          <w:szCs w:val="44"/>
        </w:rPr>
      </w:pPr>
      <w:r w:rsidRPr="0030320C">
        <w:rPr>
          <w:rFonts w:ascii="方正小标宋简体" w:eastAsia="方正小标宋简体" w:hAnsi="方正小标宋简体" w:cs="方正小标宋简体" w:hint="eastAsia"/>
          <w:snapToGrid w:val="0"/>
          <w:kern w:val="0"/>
          <w:sz w:val="44"/>
          <w:szCs w:val="24"/>
        </w:rPr>
        <w:t>裁量基准（市定事项）》的通知</w:t>
      </w:r>
    </w:p>
    <w:p w:rsidR="0078339B" w:rsidRPr="0078339B" w:rsidRDefault="0078339B" w:rsidP="0078339B">
      <w:pPr>
        <w:widowControl/>
        <w:tabs>
          <w:tab w:val="left" w:pos="4253"/>
        </w:tabs>
        <w:spacing w:line="640" w:lineRule="exact"/>
        <w:jc w:val="center"/>
        <w:rPr>
          <w:rFonts w:ascii="楷体" w:eastAsia="楷体" w:hAnsi="楷体"/>
          <w:sz w:val="32"/>
          <w:szCs w:val="32"/>
        </w:rPr>
      </w:pPr>
      <w:bookmarkStart w:id="1" w:name="_GoBack"/>
      <w:r w:rsidRPr="0078339B">
        <w:rPr>
          <w:rFonts w:ascii="楷体" w:eastAsia="楷体" w:hAnsi="楷体"/>
          <w:sz w:val="32"/>
          <w:szCs w:val="32"/>
        </w:rPr>
        <w:t>宁房规字〔202</w:t>
      </w:r>
      <w:r w:rsidRPr="0078339B">
        <w:rPr>
          <w:rFonts w:ascii="楷体" w:eastAsia="楷体" w:hAnsi="楷体" w:hint="eastAsia"/>
          <w:sz w:val="32"/>
          <w:szCs w:val="32"/>
        </w:rPr>
        <w:t>3</w:t>
      </w:r>
      <w:r w:rsidRPr="0078339B">
        <w:rPr>
          <w:rFonts w:ascii="楷体" w:eastAsia="楷体" w:hAnsi="楷体"/>
          <w:sz w:val="32"/>
          <w:szCs w:val="32"/>
        </w:rPr>
        <w:t>〕</w:t>
      </w:r>
      <w:r w:rsidRPr="0078339B">
        <w:rPr>
          <w:rFonts w:ascii="楷体" w:eastAsia="楷体" w:hAnsi="楷体" w:hint="eastAsia"/>
          <w:sz w:val="32"/>
          <w:szCs w:val="32"/>
        </w:rPr>
        <w:t>1</w:t>
      </w:r>
      <w:r w:rsidRPr="0078339B">
        <w:rPr>
          <w:rFonts w:ascii="楷体" w:eastAsia="楷体" w:hAnsi="楷体"/>
          <w:sz w:val="32"/>
          <w:szCs w:val="32"/>
        </w:rPr>
        <w:t>号</w:t>
      </w:r>
    </w:p>
    <w:bookmarkEnd w:id="1"/>
    <w:p w:rsidR="0078339B" w:rsidRPr="008B69CD" w:rsidRDefault="0078339B" w:rsidP="0078339B">
      <w:pPr>
        <w:widowControl/>
        <w:tabs>
          <w:tab w:val="left" w:pos="4253"/>
        </w:tabs>
        <w:spacing w:line="640" w:lineRule="exact"/>
        <w:jc w:val="center"/>
        <w:rPr>
          <w:rFonts w:ascii="Times New Roman" w:eastAsia="仿宋_GB2312" w:hAnsi="Times New Roman"/>
          <w:kern w:val="0"/>
          <w:sz w:val="32"/>
          <w:szCs w:val="32"/>
        </w:rPr>
      </w:pPr>
    </w:p>
    <w:p w:rsidR="0078339B" w:rsidRPr="008B69CD" w:rsidRDefault="0078339B" w:rsidP="0078339B">
      <w:pPr>
        <w:tabs>
          <w:tab w:val="left" w:pos="9193"/>
          <w:tab w:val="left" w:pos="9827"/>
        </w:tabs>
        <w:autoSpaceDE w:val="0"/>
        <w:autoSpaceDN w:val="0"/>
        <w:snapToGrid w:val="0"/>
        <w:spacing w:line="640" w:lineRule="exact"/>
        <w:rPr>
          <w:rFonts w:ascii="Times New Roman" w:eastAsia="仿宋_GB2312" w:hAnsi="Times New Roman"/>
          <w:snapToGrid w:val="0"/>
          <w:kern w:val="0"/>
          <w:sz w:val="32"/>
          <w:szCs w:val="24"/>
        </w:rPr>
      </w:pPr>
      <w:r w:rsidRPr="008B69CD">
        <w:rPr>
          <w:rFonts w:ascii="Times New Roman" w:eastAsia="仿宋_GB2312" w:hAnsi="Times New Roman"/>
          <w:snapToGrid w:val="0"/>
          <w:kern w:val="0"/>
          <w:sz w:val="32"/>
          <w:szCs w:val="24"/>
        </w:rPr>
        <w:t>各区房产（住建）局、江北新区建交局，机关各处室、局属各单位：</w:t>
      </w:r>
    </w:p>
    <w:p w:rsidR="0078339B" w:rsidRPr="008B69CD" w:rsidRDefault="0078339B" w:rsidP="0078339B">
      <w:pPr>
        <w:tabs>
          <w:tab w:val="left" w:pos="9193"/>
          <w:tab w:val="left" w:pos="9827"/>
        </w:tabs>
        <w:autoSpaceDE w:val="0"/>
        <w:autoSpaceDN w:val="0"/>
        <w:snapToGrid w:val="0"/>
        <w:spacing w:line="640" w:lineRule="exact"/>
        <w:ind w:firstLineChars="200" w:firstLine="640"/>
        <w:rPr>
          <w:rFonts w:ascii="Times New Roman" w:eastAsia="仿宋_GB2312" w:hAnsi="Times New Roman"/>
          <w:snapToGrid w:val="0"/>
          <w:kern w:val="0"/>
          <w:sz w:val="32"/>
          <w:szCs w:val="24"/>
        </w:rPr>
      </w:pPr>
      <w:r w:rsidRPr="008B69CD">
        <w:rPr>
          <w:rFonts w:ascii="Times New Roman" w:eastAsia="仿宋_GB2312" w:hAnsi="Times New Roman"/>
          <w:snapToGrid w:val="0"/>
          <w:kern w:val="0"/>
          <w:sz w:val="32"/>
          <w:szCs w:val="24"/>
        </w:rPr>
        <w:t>为贯彻落实《省政府办公厅关于统筹推进行政裁量权基准制定和管理工作的通知》（苏政办发〔</w:t>
      </w:r>
      <w:r w:rsidRPr="008B69CD">
        <w:rPr>
          <w:rFonts w:ascii="Times New Roman" w:eastAsia="仿宋_GB2312" w:hAnsi="Times New Roman"/>
          <w:snapToGrid w:val="0"/>
          <w:kern w:val="0"/>
          <w:sz w:val="32"/>
          <w:szCs w:val="24"/>
        </w:rPr>
        <w:t>2023</w:t>
      </w:r>
      <w:r w:rsidRPr="008B69CD">
        <w:rPr>
          <w:rFonts w:ascii="Times New Roman" w:eastAsia="仿宋_GB2312" w:hAnsi="Times New Roman"/>
          <w:snapToGrid w:val="0"/>
          <w:kern w:val="0"/>
          <w:sz w:val="32"/>
          <w:szCs w:val="24"/>
        </w:rPr>
        <w:t>〕</w:t>
      </w:r>
      <w:r w:rsidRPr="008B69CD">
        <w:rPr>
          <w:rFonts w:ascii="Times New Roman" w:eastAsia="仿宋_GB2312" w:hAnsi="Times New Roman"/>
          <w:snapToGrid w:val="0"/>
          <w:kern w:val="0"/>
          <w:sz w:val="32"/>
          <w:szCs w:val="24"/>
        </w:rPr>
        <w:t>1</w:t>
      </w:r>
      <w:r w:rsidRPr="008B69CD">
        <w:rPr>
          <w:rFonts w:ascii="Times New Roman" w:eastAsia="仿宋_GB2312" w:hAnsi="Times New Roman"/>
          <w:snapToGrid w:val="0"/>
          <w:kern w:val="0"/>
          <w:sz w:val="32"/>
          <w:szCs w:val="24"/>
        </w:rPr>
        <w:t>号）和《市司法局关于统筹推进行政裁量权基准制定和管理工作的通知》有关要求，进一步规范我市房产行政执法裁量尺度，促进公开、公平、公正执法，提升执法公信力和保障行政执法相对人的合法权益，我局对《南京市住宅物业管理条例》、《南京市房屋租赁管理办法》、《南京市重要近现代建筑和近现代建筑风貌区保护条例》设定的行政处罚和《南京市房屋使用安全管理条例》设定的行政强制措施，研究制定了《南京市房产行政处罚、行政强制裁量基准（市定事项）》，现印发给你们，请结合工作实际遵照执行。</w:t>
      </w:r>
    </w:p>
    <w:p w:rsidR="0078339B" w:rsidRPr="008B69CD" w:rsidRDefault="0078339B" w:rsidP="0078339B">
      <w:pPr>
        <w:tabs>
          <w:tab w:val="left" w:pos="9193"/>
          <w:tab w:val="left" w:pos="9827"/>
        </w:tabs>
        <w:autoSpaceDE w:val="0"/>
        <w:autoSpaceDN w:val="0"/>
        <w:snapToGrid w:val="0"/>
        <w:spacing w:line="640" w:lineRule="exact"/>
        <w:ind w:firstLineChars="200" w:firstLine="640"/>
        <w:rPr>
          <w:rFonts w:ascii="Times New Roman" w:eastAsia="仿宋_GB2312" w:hAnsi="Times New Roman"/>
          <w:snapToGrid w:val="0"/>
          <w:kern w:val="0"/>
          <w:sz w:val="32"/>
          <w:szCs w:val="24"/>
        </w:rPr>
      </w:pPr>
      <w:r w:rsidRPr="008B69CD">
        <w:rPr>
          <w:rFonts w:ascii="Times New Roman" w:eastAsia="仿宋_GB2312" w:hAnsi="Times New Roman"/>
          <w:snapToGrid w:val="0"/>
          <w:kern w:val="0"/>
          <w:sz w:val="32"/>
          <w:szCs w:val="24"/>
        </w:rPr>
        <w:t>本基准自</w:t>
      </w:r>
      <w:r w:rsidRPr="008B69CD">
        <w:rPr>
          <w:rFonts w:ascii="Times New Roman" w:eastAsia="仿宋_GB2312" w:hAnsi="Times New Roman"/>
          <w:snapToGrid w:val="0"/>
          <w:kern w:val="0"/>
          <w:sz w:val="32"/>
          <w:szCs w:val="24"/>
        </w:rPr>
        <w:t>2023</w:t>
      </w:r>
      <w:r w:rsidRPr="008B69CD">
        <w:rPr>
          <w:rFonts w:ascii="Times New Roman" w:eastAsia="仿宋_GB2312" w:hAnsi="Times New Roman"/>
          <w:snapToGrid w:val="0"/>
          <w:kern w:val="0"/>
          <w:sz w:val="32"/>
          <w:szCs w:val="24"/>
        </w:rPr>
        <w:t>年</w:t>
      </w:r>
      <w:r w:rsidRPr="008B69CD">
        <w:rPr>
          <w:rFonts w:ascii="Times New Roman" w:eastAsia="仿宋_GB2312" w:hAnsi="Times New Roman"/>
          <w:snapToGrid w:val="0"/>
          <w:kern w:val="0"/>
          <w:sz w:val="32"/>
          <w:szCs w:val="24"/>
        </w:rPr>
        <w:t>9</w:t>
      </w:r>
      <w:r w:rsidRPr="008B69CD">
        <w:rPr>
          <w:rFonts w:ascii="Times New Roman" w:eastAsia="仿宋_GB2312" w:hAnsi="Times New Roman"/>
          <w:snapToGrid w:val="0"/>
          <w:kern w:val="0"/>
          <w:sz w:val="32"/>
          <w:szCs w:val="24"/>
        </w:rPr>
        <w:t>月</w:t>
      </w:r>
      <w:r w:rsidRPr="008B69CD">
        <w:rPr>
          <w:rFonts w:ascii="Times New Roman" w:eastAsia="仿宋_GB2312" w:hAnsi="Times New Roman"/>
          <w:snapToGrid w:val="0"/>
          <w:kern w:val="0"/>
          <w:sz w:val="32"/>
          <w:szCs w:val="24"/>
        </w:rPr>
        <w:t>1</w:t>
      </w:r>
      <w:r w:rsidRPr="008B69CD">
        <w:rPr>
          <w:rFonts w:ascii="Times New Roman" w:eastAsia="仿宋_GB2312" w:hAnsi="Times New Roman"/>
          <w:snapToGrid w:val="0"/>
          <w:kern w:val="0"/>
          <w:sz w:val="32"/>
          <w:szCs w:val="24"/>
        </w:rPr>
        <w:t>日起施行，有效期至</w:t>
      </w:r>
      <w:r w:rsidRPr="008B69CD">
        <w:rPr>
          <w:rFonts w:ascii="Times New Roman" w:eastAsia="仿宋_GB2312" w:hAnsi="Times New Roman"/>
          <w:snapToGrid w:val="0"/>
          <w:kern w:val="0"/>
          <w:sz w:val="32"/>
          <w:szCs w:val="24"/>
        </w:rPr>
        <w:t>2028</w:t>
      </w:r>
      <w:r w:rsidRPr="008B69CD">
        <w:rPr>
          <w:rFonts w:ascii="Times New Roman" w:eastAsia="仿宋_GB2312" w:hAnsi="Times New Roman"/>
          <w:snapToGrid w:val="0"/>
          <w:kern w:val="0"/>
          <w:sz w:val="32"/>
          <w:szCs w:val="24"/>
        </w:rPr>
        <w:t>年</w:t>
      </w:r>
      <w:r w:rsidRPr="008B69CD">
        <w:rPr>
          <w:rFonts w:ascii="Times New Roman" w:eastAsia="仿宋_GB2312" w:hAnsi="Times New Roman"/>
          <w:snapToGrid w:val="0"/>
          <w:kern w:val="0"/>
          <w:sz w:val="32"/>
          <w:szCs w:val="24"/>
        </w:rPr>
        <w:t>8</w:t>
      </w:r>
      <w:r w:rsidRPr="008B69CD">
        <w:rPr>
          <w:rFonts w:ascii="Times New Roman" w:eastAsia="仿宋_GB2312" w:hAnsi="Times New Roman"/>
          <w:snapToGrid w:val="0"/>
          <w:kern w:val="0"/>
          <w:sz w:val="32"/>
          <w:szCs w:val="24"/>
        </w:rPr>
        <w:t>月</w:t>
      </w:r>
      <w:r w:rsidRPr="008B69CD">
        <w:rPr>
          <w:rFonts w:ascii="Times New Roman" w:eastAsia="仿宋_GB2312" w:hAnsi="Times New Roman"/>
          <w:snapToGrid w:val="0"/>
          <w:kern w:val="0"/>
          <w:sz w:val="32"/>
          <w:szCs w:val="24"/>
        </w:rPr>
        <w:t>31</w:t>
      </w:r>
      <w:r w:rsidRPr="008B69CD">
        <w:rPr>
          <w:rFonts w:ascii="Times New Roman" w:eastAsia="仿宋_GB2312" w:hAnsi="Times New Roman"/>
          <w:snapToGrid w:val="0"/>
          <w:kern w:val="0"/>
          <w:sz w:val="32"/>
          <w:szCs w:val="24"/>
        </w:rPr>
        <w:t>日。</w:t>
      </w:r>
    </w:p>
    <w:p w:rsidR="0078339B" w:rsidRDefault="0078339B" w:rsidP="0078339B">
      <w:pPr>
        <w:spacing w:line="0" w:lineRule="atLeast"/>
        <w:rPr>
          <w:rFonts w:eastAsia="仿宋_GB2312"/>
        </w:rPr>
      </w:pPr>
    </w:p>
    <w:p w:rsidR="0078339B" w:rsidRDefault="0078339B" w:rsidP="0078339B">
      <w:pPr>
        <w:spacing w:line="0" w:lineRule="atLeast"/>
        <w:rPr>
          <w:rFonts w:eastAsia="仿宋_GB2312"/>
        </w:rPr>
      </w:pPr>
    </w:p>
    <w:p w:rsidR="0078339B" w:rsidRPr="000D3034" w:rsidRDefault="0078339B" w:rsidP="0078339B">
      <w:pPr>
        <w:spacing w:line="0" w:lineRule="atLeast"/>
        <w:rPr>
          <w:rFonts w:eastAsia="仿宋_GB2312"/>
        </w:rPr>
      </w:pPr>
    </w:p>
    <w:p w:rsidR="0078339B" w:rsidRDefault="0078339B" w:rsidP="0078339B">
      <w:pPr>
        <w:spacing w:line="0" w:lineRule="atLeast"/>
        <w:ind w:right="-74"/>
        <w:rPr>
          <w:rFonts w:ascii="Times Roman" w:eastAsia="仿宋_GB2312" w:hAnsi="Times Roman"/>
          <w:sz w:val="32"/>
          <w:szCs w:val="32"/>
        </w:rPr>
      </w:pPr>
      <w:r>
        <w:rPr>
          <w:rFonts w:ascii="Times Roman" w:eastAsia="仿宋_GB2312" w:hint="eastAsia"/>
          <w:sz w:val="32"/>
          <w:szCs w:val="32"/>
        </w:rPr>
        <w:t xml:space="preserve">　　　　　　　　　　　　</w:t>
      </w:r>
      <w:r>
        <w:rPr>
          <w:rFonts w:ascii="Times Roman" w:eastAsia="仿宋_GB2312" w:hAnsi="Times Roman"/>
          <w:sz w:val="32"/>
          <w:szCs w:val="32"/>
        </w:rPr>
        <w:t xml:space="preserve">   </w:t>
      </w:r>
      <w:r>
        <w:rPr>
          <w:rFonts w:ascii="Times Roman" w:eastAsia="仿宋_GB2312" w:hint="eastAsia"/>
          <w:sz w:val="32"/>
          <w:szCs w:val="32"/>
        </w:rPr>
        <w:t xml:space="preserve">　南京市住房保障和房产局</w:t>
      </w:r>
    </w:p>
    <w:p w:rsidR="0078339B" w:rsidRDefault="0078339B" w:rsidP="0078339B">
      <w:pPr>
        <w:spacing w:line="0" w:lineRule="atLeast"/>
        <w:ind w:firstLineChars="1631" w:firstLine="5219"/>
        <w:rPr>
          <w:rFonts w:ascii="Times Roman" w:eastAsia="仿宋_GB2312" w:hAnsi="Times Roman"/>
          <w:sz w:val="32"/>
          <w:szCs w:val="32"/>
        </w:rPr>
      </w:pPr>
      <w:r>
        <w:rPr>
          <w:rFonts w:ascii="Times Roman" w:eastAsia="仿宋_GB2312" w:hAnsi="Times Roman"/>
          <w:sz w:val="32"/>
          <w:szCs w:val="32"/>
        </w:rPr>
        <w:t>20</w:t>
      </w:r>
      <w:r>
        <w:rPr>
          <w:rFonts w:ascii="Times Roman" w:eastAsia="仿宋_GB2312" w:hAnsi="Times Roman" w:hint="eastAsia"/>
          <w:sz w:val="32"/>
          <w:szCs w:val="32"/>
        </w:rPr>
        <w:t>23</w:t>
      </w:r>
      <w:r>
        <w:rPr>
          <w:rFonts w:ascii="Times Roman" w:eastAsia="仿宋_GB2312" w:hint="eastAsia"/>
          <w:sz w:val="32"/>
          <w:szCs w:val="32"/>
        </w:rPr>
        <w:t>年</w:t>
      </w:r>
      <w:r>
        <w:rPr>
          <w:rFonts w:ascii="Times Roman" w:eastAsia="仿宋_GB2312" w:hint="eastAsia"/>
          <w:sz w:val="32"/>
          <w:szCs w:val="32"/>
        </w:rPr>
        <w:t>7</w:t>
      </w:r>
      <w:r>
        <w:rPr>
          <w:rFonts w:ascii="Times Roman" w:eastAsia="仿宋_GB2312" w:hint="eastAsia"/>
          <w:sz w:val="32"/>
          <w:szCs w:val="32"/>
        </w:rPr>
        <w:t>月</w:t>
      </w:r>
      <w:r>
        <w:rPr>
          <w:rFonts w:ascii="Times Roman" w:eastAsia="仿宋_GB2312" w:hint="eastAsia"/>
          <w:sz w:val="32"/>
          <w:szCs w:val="32"/>
        </w:rPr>
        <w:t>27</w:t>
      </w:r>
      <w:r>
        <w:rPr>
          <w:rFonts w:ascii="Times Roman" w:eastAsia="仿宋_GB2312" w:hint="eastAsia"/>
          <w:sz w:val="32"/>
          <w:szCs w:val="32"/>
        </w:rPr>
        <w:t>日</w:t>
      </w:r>
    </w:p>
    <w:p w:rsidR="0078339B" w:rsidRDefault="0078339B" w:rsidP="0078339B">
      <w:pPr>
        <w:spacing w:line="0" w:lineRule="atLeast"/>
        <w:ind w:firstLineChars="1631" w:firstLine="5219"/>
        <w:rPr>
          <w:rFonts w:ascii="Times Roman" w:eastAsia="仿宋_GB2312" w:hAnsi="Times Roman"/>
          <w:sz w:val="32"/>
          <w:szCs w:val="32"/>
        </w:rPr>
      </w:pPr>
    </w:p>
    <w:bookmarkEnd w:id="0"/>
    <w:p w:rsidR="0078339B" w:rsidRDefault="0078339B" w:rsidP="0078339B">
      <w:pPr>
        <w:sectPr w:rsidR="0078339B" w:rsidSect="00D65664">
          <w:footerReference w:type="default" r:id="rId8"/>
          <w:pgSz w:w="11906" w:h="16838"/>
          <w:pgMar w:top="2098" w:right="1474" w:bottom="1984" w:left="1587" w:header="851" w:footer="992" w:gutter="0"/>
          <w:cols w:space="425"/>
          <w:docGrid w:type="lines" w:linePitch="312"/>
        </w:sectPr>
      </w:pPr>
    </w:p>
    <w:p w:rsidR="0078339B" w:rsidRDefault="0078339B" w:rsidP="0078339B">
      <w:pPr>
        <w:widowControl/>
        <w:spacing w:line="360" w:lineRule="auto"/>
        <w:jc w:val="center"/>
        <w:rPr>
          <w:rFonts w:ascii="方正小标宋_GBK" w:eastAsia="方正小标宋_GBK"/>
          <w:snapToGrid w:val="0"/>
          <w:color w:val="000000"/>
          <w:kern w:val="0"/>
          <w:sz w:val="32"/>
          <w:szCs w:val="32"/>
        </w:rPr>
      </w:pPr>
      <w:r>
        <w:rPr>
          <w:rFonts w:ascii="方正小标宋_GBK" w:eastAsia="方正小标宋_GBK" w:hint="eastAsia"/>
          <w:snapToGrid w:val="0"/>
          <w:color w:val="000000"/>
          <w:kern w:val="0"/>
          <w:sz w:val="44"/>
          <w:szCs w:val="44"/>
        </w:rPr>
        <w:lastRenderedPageBreak/>
        <w:t>南京市房产行政处罚、行政强制裁量基准（市定事项）</w:t>
      </w:r>
    </w:p>
    <w:p w:rsidR="0078339B" w:rsidRDefault="0078339B" w:rsidP="0078339B">
      <w:pPr>
        <w:widowControl/>
        <w:jc w:val="center"/>
      </w:pPr>
      <w:r>
        <w:rPr>
          <w:rFonts w:ascii="方正小标宋_GBK" w:eastAsia="方正小标宋_GBK" w:hint="eastAsia"/>
          <w:snapToGrid w:val="0"/>
          <w:color w:val="000000"/>
          <w:kern w:val="0"/>
          <w:sz w:val="32"/>
          <w:szCs w:val="32"/>
        </w:rPr>
        <w:t>一、物业管理类</w:t>
      </w:r>
    </w:p>
    <w:tbl>
      <w:tblPr>
        <w:tblW w:w="0" w:type="auto"/>
        <w:tblInd w:w="88" w:type="dxa"/>
        <w:tblLayout w:type="fixed"/>
        <w:tblLook w:val="04A0" w:firstRow="1" w:lastRow="0" w:firstColumn="1" w:lastColumn="0" w:noHBand="0" w:noVBand="1"/>
      </w:tblPr>
      <w:tblGrid>
        <w:gridCol w:w="1721"/>
        <w:gridCol w:w="2025"/>
        <w:gridCol w:w="4001"/>
        <w:gridCol w:w="1901"/>
        <w:gridCol w:w="4374"/>
      </w:tblGrid>
      <w:tr w:rsidR="0078339B" w:rsidTr="00FA222D">
        <w:trPr>
          <w:trHeight w:val="285"/>
        </w:trPr>
        <w:tc>
          <w:tcPr>
            <w:tcW w:w="1721" w:type="dxa"/>
            <w:tcBorders>
              <w:top w:val="single" w:sz="8"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nil"/>
              <w:bottom w:val="single" w:sz="4" w:space="0" w:color="auto"/>
              <w:right w:val="single" w:sz="8" w:space="0" w:color="000000"/>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对物业服务第三方评估机构出具的评估报告具有虚假内容、误导性陈述、重大遗漏的处罚</w:t>
            </w:r>
          </w:p>
        </w:tc>
      </w:tr>
      <w:tr w:rsidR="0078339B" w:rsidTr="00FA222D">
        <w:trPr>
          <w:trHeight w:val="285"/>
        </w:trPr>
        <w:tc>
          <w:tcPr>
            <w:tcW w:w="1721" w:type="dxa"/>
            <w:tcBorders>
              <w:top w:val="nil"/>
              <w:left w:val="single" w:sz="8"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4" w:space="0" w:color="auto"/>
              <w:left w:val="nil"/>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【地方性法规】《南京市住宅物业管理条例》</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第七十条  物业服务第三方评估机构违反本条例规定，出具的评估报告具有虚假内容、误导性陈述、重大遗漏的，由市物业管理行政主管部门责令限期改正，没收违法所得，处三万元以上五万元以下罚款，并予以公示；造成当事人损失的，应当承担相应的赔偿责任；构成犯罪的，依法追究刑事责任。</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第六条  本市建立物业服务第三方评估制度。业主自治组织、建设单位、物业服务企业可以委托物业服务第三方评估机构，开展物业项目交接和查验、物业服务标准和费用测算、物业服务质量评估等活动。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物业服务第三方评估机构应当依照法律、法规和合同约定提供专业服务，出具的评估报告应当真实、客观、全面。 </w:t>
            </w:r>
          </w:p>
        </w:tc>
      </w:tr>
      <w:tr w:rsidR="0078339B" w:rsidTr="00FA222D">
        <w:trPr>
          <w:trHeight w:val="285"/>
        </w:trPr>
        <w:tc>
          <w:tcPr>
            <w:tcW w:w="172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4"/>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没收违法所得，罚款</w:t>
            </w:r>
          </w:p>
        </w:tc>
      </w:tr>
      <w:tr w:rsidR="0078339B" w:rsidTr="00FA222D">
        <w:trPr>
          <w:trHeight w:val="445"/>
        </w:trPr>
        <w:tc>
          <w:tcPr>
            <w:tcW w:w="14022" w:type="dxa"/>
            <w:gridSpan w:val="5"/>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44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ind w:firstLineChars="100" w:firstLine="240"/>
              <w:jc w:val="left"/>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出具的评估报告具有虚假内容、误导性陈述、重大遗漏</w:t>
            </w:r>
          </w:p>
        </w:tc>
        <w:tc>
          <w:tcPr>
            <w:tcW w:w="400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导致评估结果偏差或对实现评估目的的有关判断有明显误导的</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37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没收违法所得，处三万元以上四万元以下罚款</w:t>
            </w:r>
          </w:p>
        </w:tc>
      </w:tr>
      <w:tr w:rsidR="0078339B" w:rsidTr="00FA222D">
        <w:trPr>
          <w:trHeight w:val="28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00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导致评估结果严重背离实际情况或对实现评估目的的有关判断有重大误导的</w:t>
            </w:r>
          </w:p>
        </w:tc>
        <w:tc>
          <w:tcPr>
            <w:tcW w:w="190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37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没收违法所得，处四万元以上五万元以下罚款</w:t>
            </w:r>
          </w:p>
        </w:tc>
      </w:tr>
    </w:tbl>
    <w:p w:rsidR="0078339B" w:rsidRDefault="0078339B" w:rsidP="0078339B">
      <w:pPr>
        <w:spacing w:line="360" w:lineRule="exact"/>
        <w:rPr>
          <w:rFonts w:ascii="仿宋" w:eastAsia="仿宋" w:hAnsi="仿宋" w:cs="仿宋"/>
        </w:rPr>
      </w:pPr>
    </w:p>
    <w:tbl>
      <w:tblPr>
        <w:tblW w:w="0" w:type="auto"/>
        <w:tblInd w:w="88" w:type="dxa"/>
        <w:tblLayout w:type="fixed"/>
        <w:tblLook w:val="04A0" w:firstRow="1" w:lastRow="0" w:firstColumn="1" w:lastColumn="0" w:noHBand="0" w:noVBand="1"/>
      </w:tblPr>
      <w:tblGrid>
        <w:gridCol w:w="1721"/>
        <w:gridCol w:w="6015"/>
        <w:gridCol w:w="2002"/>
        <w:gridCol w:w="4284"/>
      </w:tblGrid>
      <w:tr w:rsidR="0078339B" w:rsidTr="00FA222D">
        <w:trPr>
          <w:trHeight w:val="285"/>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3"/>
            <w:tcBorders>
              <w:top w:val="single" w:sz="8" w:space="0" w:color="auto"/>
              <w:left w:val="nil"/>
              <w:bottom w:val="single" w:sz="8" w:space="0" w:color="auto"/>
              <w:right w:val="single" w:sz="8" w:space="0" w:color="000000"/>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对建设单位未按照要求报送筹备首次业主大会会议所需的文件资料或者未移交物业服务相关资料的处罚</w:t>
            </w:r>
          </w:p>
        </w:tc>
      </w:tr>
      <w:tr w:rsidR="0078339B" w:rsidTr="00FA222D">
        <w:trPr>
          <w:trHeight w:val="130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第七十三条  建设单位违反本条例规定，有下列情形之一的，由区物业管理行政主管部门责令限期改正；逾期不改正的，按照下列规定进行处罚：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违反本条例第九条第一款、第四十条规定，未按照要求报送筹备首次业主大会会议所需的文件资料或者未移交物业服务相关资料的，处五万元以上十万元以下罚款。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第九条第一款 符合业主大会成立条件的，建设单位应当向街道办事处（镇人民政府）报送筹备首次业主大会会议所需的文件资料。</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第四十条  建设单位与物业买受人签订的商品房销售合同应当约定其所交付物业的共用部位、共用设施设备的配置和建设标准。</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物业服务企业承接物业前，应当与建设单位按照合同约定共同对住宅物业管理区域内的物业共用部位、共用设施设备进行检查和验收，并邀请物业所在地的区物业管理行政主管部门、街道办事处（镇人民政府）参加。建设单位应当在现场查验二十日前向物业服务企业移交下列资料： </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 xml:space="preserve">（一）规划、竣工总平面图，单体建筑、结构、设备竣工图，配套设施、地下管网工程竣工图等竣工验收资料； </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（二）环境影响评价报告及审批、验收等环境保护资料；</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 xml:space="preserve">（三）共用设施设备的清单及安装、使用和维护保养等技术资料； </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 xml:space="preserve">（四）物业质量保修文件和物业使用说明文件； </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（五）业主名册；</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 xml:space="preserve">（六）物业服务所必需的其他资料。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未能全部移交前款所列资料的，建设单位应当列出未移交资料的详细清单，并书面承诺补交的具体期限，最长不超过十日。</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承接查验后，建设单位应当与物业服务企业签订物业承接查验协议，对物业承接查验基本情况、存在问题、解决方法及其时限、双方权利义务、违约责任等事项作出约定。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物业承接查验协议作为前期物业服务合同的补充协议，与前期物业服务合同具有同等法律效力。</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22"/>
        </w:trPr>
        <w:tc>
          <w:tcPr>
            <w:tcW w:w="1721" w:type="dxa"/>
            <w:vMerge w:val="restart"/>
            <w:tcBorders>
              <w:top w:val="single" w:sz="4" w:space="0" w:color="auto"/>
              <w:left w:val="single" w:sz="4" w:space="0" w:color="auto"/>
              <w:right w:val="single" w:sz="4" w:space="0" w:color="auto"/>
            </w:tcBorders>
            <w:vAlign w:val="center"/>
          </w:tcPr>
          <w:p w:rsidR="0078339B" w:rsidRDefault="0078339B" w:rsidP="00FA222D">
            <w:pPr>
              <w:widowControl/>
              <w:spacing w:line="360" w:lineRule="exact"/>
              <w:ind w:firstLineChars="100" w:firstLine="240"/>
              <w:jc w:val="left"/>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6015" w:type="dxa"/>
            <w:tcBorders>
              <w:top w:val="single" w:sz="4" w:space="0" w:color="auto"/>
              <w:left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未报送筹备首次业主大会会议所需的文件资料（依据《江苏省物业管理条例》第十四条、参照《南京市住宅区业主自治活动导则》第七条规定执行）两项以下资料的或未移交本条例第四十条规定中两项以下资料的</w:t>
            </w:r>
          </w:p>
        </w:tc>
        <w:tc>
          <w:tcPr>
            <w:tcW w:w="2002" w:type="dxa"/>
            <w:vMerge w:val="restart"/>
            <w:tcBorders>
              <w:top w:val="single" w:sz="4" w:space="0" w:color="auto"/>
              <w:left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84" w:type="dxa"/>
            <w:tcBorders>
              <w:top w:val="single" w:sz="8" w:space="0" w:color="auto"/>
              <w:left w:val="single" w:sz="4"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b/>
                <w:bCs/>
                <w:color w:val="000000"/>
                <w:kern w:val="0"/>
                <w:sz w:val="24"/>
              </w:rPr>
            </w:pPr>
            <w:r>
              <w:rPr>
                <w:rFonts w:ascii="仿宋" w:eastAsia="仿宋" w:hAnsi="仿宋" w:cs="仿宋" w:hint="eastAsia"/>
                <w:color w:val="000000"/>
                <w:kern w:val="0"/>
                <w:sz w:val="24"/>
              </w:rPr>
              <w:t>处五万元以上六万元以下罚款</w:t>
            </w:r>
          </w:p>
        </w:tc>
      </w:tr>
      <w:tr w:rsidR="0078339B" w:rsidTr="00FA222D">
        <w:trPr>
          <w:trHeight w:val="222"/>
        </w:trPr>
        <w:tc>
          <w:tcPr>
            <w:tcW w:w="1721" w:type="dxa"/>
            <w:vMerge/>
            <w:tcBorders>
              <w:left w:val="single" w:sz="4" w:space="0" w:color="auto"/>
              <w:right w:val="single" w:sz="4" w:space="0" w:color="auto"/>
            </w:tcBorders>
            <w:vAlign w:val="center"/>
          </w:tcPr>
          <w:p w:rsidR="0078339B" w:rsidRDefault="0078339B" w:rsidP="00FA222D">
            <w:pPr>
              <w:widowControl/>
              <w:spacing w:line="360" w:lineRule="exact"/>
              <w:ind w:firstLineChars="100" w:firstLine="240"/>
              <w:jc w:val="left"/>
              <w:rPr>
                <w:rFonts w:ascii="仿宋" w:eastAsia="仿宋" w:hAnsi="仿宋" w:cs="仿宋"/>
                <w:color w:val="000000"/>
                <w:kern w:val="0"/>
                <w:sz w:val="24"/>
              </w:rPr>
            </w:pPr>
          </w:p>
        </w:tc>
        <w:tc>
          <w:tcPr>
            <w:tcW w:w="6015" w:type="dxa"/>
            <w:tcBorders>
              <w:top w:val="single" w:sz="4" w:space="0" w:color="auto"/>
              <w:left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报送筹备首次业主大会会议所需的文件资料（依据《江苏省物业管理条例》第十四条、参照《南京市住宅区业主自治活动导则》第七条规定执行）两项以上四项以下资料的或未移交本条例第四十条规定中两项以上四项以下资料的</w:t>
            </w:r>
          </w:p>
        </w:tc>
        <w:tc>
          <w:tcPr>
            <w:tcW w:w="2002" w:type="dxa"/>
            <w:vMerge/>
            <w:tcBorders>
              <w:left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84" w:type="dxa"/>
            <w:tcBorders>
              <w:top w:val="single" w:sz="8" w:space="0" w:color="auto"/>
              <w:left w:val="single" w:sz="4"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处六万元以上七万元以下罚款</w:t>
            </w:r>
          </w:p>
        </w:tc>
      </w:tr>
      <w:tr w:rsidR="0078339B" w:rsidTr="00FA222D">
        <w:trPr>
          <w:trHeight w:val="285"/>
        </w:trPr>
        <w:tc>
          <w:tcPr>
            <w:tcW w:w="1721" w:type="dxa"/>
            <w:vMerge/>
            <w:tcBorders>
              <w:left w:val="single" w:sz="4" w:space="0" w:color="auto"/>
              <w:bottom w:val="single" w:sz="8"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6015" w:type="dxa"/>
            <w:tcBorders>
              <w:top w:val="single" w:sz="4"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未报送筹备首次业主大会会议所需的文件资料（依据《江苏省物业管理条例》第十四条、参照《南京市住宅区业主自治活动导则》第七条规定执行）四项以上资料的或未移交本条例第四十条规定中四项以上资料的</w:t>
            </w:r>
          </w:p>
        </w:tc>
        <w:tc>
          <w:tcPr>
            <w:tcW w:w="2002" w:type="dxa"/>
            <w:vMerge/>
            <w:tcBorders>
              <w:left w:val="single" w:sz="4" w:space="0" w:color="auto"/>
              <w:bottom w:val="single" w:sz="8"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8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b/>
                <w:bCs/>
                <w:color w:val="000000"/>
                <w:kern w:val="0"/>
                <w:sz w:val="24"/>
              </w:rPr>
            </w:pPr>
            <w:r>
              <w:rPr>
                <w:rFonts w:ascii="仿宋" w:eastAsia="仿宋" w:hAnsi="仿宋" w:cs="仿宋" w:hint="eastAsia"/>
                <w:color w:val="000000"/>
                <w:kern w:val="0"/>
                <w:sz w:val="24"/>
              </w:rPr>
              <w:t>处七万元以上十万元以下罚款</w:t>
            </w:r>
          </w:p>
        </w:tc>
      </w:tr>
    </w:tbl>
    <w:p w:rsidR="0078339B" w:rsidRDefault="0078339B" w:rsidP="0078339B">
      <w:pPr>
        <w:rPr>
          <w:rFonts w:ascii="仿宋" w:eastAsia="仿宋" w:hAnsi="仿宋" w:cs="仿宋"/>
        </w:rPr>
      </w:pPr>
    </w:p>
    <w:tbl>
      <w:tblPr>
        <w:tblW w:w="0" w:type="auto"/>
        <w:tblInd w:w="88" w:type="dxa"/>
        <w:tblLayout w:type="fixed"/>
        <w:tblLook w:val="04A0" w:firstRow="1" w:lastRow="0" w:firstColumn="1" w:lastColumn="0" w:noHBand="0" w:noVBand="1"/>
      </w:tblPr>
      <w:tblGrid>
        <w:gridCol w:w="1721"/>
        <w:gridCol w:w="2013"/>
        <w:gridCol w:w="3970"/>
        <w:gridCol w:w="2034"/>
        <w:gridCol w:w="4284"/>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对建设单位未按照要求交纳首次业主大会会议筹备经费的处罚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第七十三条 建设单位违反本条例规定，有下列情形之一的，由区物业管理行政主管部门责令限期改正；逾期不改正的，按照下列规定进行处罚：</w:t>
            </w:r>
          </w:p>
          <w:p w:rsidR="0078339B" w:rsidRDefault="0078339B" w:rsidP="0078339B">
            <w:pPr>
              <w:widowControl/>
              <w:numPr>
                <w:ilvl w:val="0"/>
                <w:numId w:val="5"/>
              </w:numPr>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违反本条例第九条第二款规定，未按照要求交纳首次业主大会会议筹备经费的，处五万元以上十万元以下罚款。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第九条第二款  首次业主大会会议的筹备经费根据物业管理区域规模、业主户数和建筑面积等因素确定，由建设单位承担。建设单位应当在办理房屋所有权初始登记之前，将首次业主大会会议筹备经费交至街道办事处（镇人民政府）设立的专用账户，供业主大会筹备组使用。</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8" w:space="0" w:color="auto"/>
              <w:left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13" w:type="dxa"/>
            <w:vMerge w:val="restart"/>
            <w:tcBorders>
              <w:top w:val="single" w:sz="8" w:space="0" w:color="auto"/>
              <w:left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逾期不改正的</w:t>
            </w:r>
          </w:p>
        </w:tc>
        <w:tc>
          <w:tcPr>
            <w:tcW w:w="397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行政处罚立案前改正的</w:t>
            </w:r>
          </w:p>
        </w:tc>
        <w:tc>
          <w:tcPr>
            <w:tcW w:w="2034" w:type="dxa"/>
            <w:vMerge w:val="restart"/>
            <w:tcBorders>
              <w:top w:val="single" w:sz="8" w:space="0" w:color="auto"/>
              <w:left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8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处五万元以上六万元以下罚款</w:t>
            </w:r>
          </w:p>
        </w:tc>
      </w:tr>
      <w:tr w:rsidR="0078339B" w:rsidTr="00FA222D">
        <w:trPr>
          <w:trHeight w:val="765"/>
        </w:trPr>
        <w:tc>
          <w:tcPr>
            <w:tcW w:w="1721" w:type="dxa"/>
            <w:vMerge/>
            <w:tcBorders>
              <w:left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13" w:type="dxa"/>
            <w:vMerge/>
            <w:tcBorders>
              <w:left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7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034" w:type="dxa"/>
            <w:vMerge/>
            <w:tcBorders>
              <w:left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8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处六万元以上八万元以下罚款</w:t>
            </w:r>
          </w:p>
        </w:tc>
      </w:tr>
      <w:tr w:rsidR="0078339B" w:rsidTr="00FA222D">
        <w:trPr>
          <w:trHeight w:val="285"/>
        </w:trPr>
        <w:tc>
          <w:tcPr>
            <w:tcW w:w="1721" w:type="dxa"/>
            <w:vMerge/>
            <w:tcBorders>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13" w:type="dxa"/>
            <w:vMerge/>
            <w:tcBorders>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7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034" w:type="dxa"/>
            <w:vMerge/>
            <w:tcBorders>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8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处八万元以上十万元以下罚款</w:t>
            </w:r>
          </w:p>
        </w:tc>
      </w:tr>
    </w:tbl>
    <w:p w:rsidR="0078339B" w:rsidRDefault="0078339B" w:rsidP="0078339B">
      <w:pPr>
        <w:pStyle w:val="WW-Default"/>
        <w:rPr>
          <w:rFonts w:ascii="仿宋" w:eastAsia="仿宋" w:hAnsi="仿宋" w:cs="仿宋"/>
        </w:rPr>
      </w:pPr>
    </w:p>
    <w:tbl>
      <w:tblPr>
        <w:tblW w:w="0" w:type="auto"/>
        <w:tblInd w:w="91" w:type="dxa"/>
        <w:tblLayout w:type="fixed"/>
        <w:tblLook w:val="04A0" w:firstRow="1" w:lastRow="0" w:firstColumn="1" w:lastColumn="0" w:noHBand="0" w:noVBand="1"/>
      </w:tblPr>
      <w:tblGrid>
        <w:gridCol w:w="1721"/>
        <w:gridCol w:w="1999"/>
        <w:gridCol w:w="4020"/>
        <w:gridCol w:w="2010"/>
        <w:gridCol w:w="4272"/>
      </w:tblGrid>
      <w:tr w:rsidR="0078339B" w:rsidTr="00FA222D">
        <w:trPr>
          <w:trHeight w:val="285"/>
        </w:trPr>
        <w:tc>
          <w:tcPr>
            <w:tcW w:w="1721" w:type="dxa"/>
            <w:tcBorders>
              <w:top w:val="single" w:sz="8"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ind w:firstLineChars="100" w:firstLine="240"/>
              <w:jc w:val="left"/>
            </w:pPr>
            <w:r>
              <w:rPr>
                <w:rFonts w:ascii="仿宋" w:eastAsia="仿宋" w:hAnsi="仿宋" w:cs="仿宋" w:hint="eastAsia"/>
                <w:color w:val="000000"/>
                <w:kern w:val="0"/>
                <w:sz w:val="24"/>
              </w:rPr>
              <w:t>行为名称</w:t>
            </w:r>
          </w:p>
        </w:tc>
        <w:tc>
          <w:tcPr>
            <w:tcW w:w="12301" w:type="dxa"/>
            <w:gridSpan w:val="4"/>
            <w:tcBorders>
              <w:top w:val="single" w:sz="8" w:space="0" w:color="auto"/>
              <w:left w:val="nil"/>
              <w:bottom w:val="single" w:sz="4" w:space="0" w:color="auto"/>
              <w:right w:val="single" w:sz="8" w:space="0" w:color="000000"/>
            </w:tcBorders>
            <w:vAlign w:val="center"/>
          </w:tcPr>
          <w:p w:rsidR="0078339B" w:rsidRDefault="0078339B" w:rsidP="00FA222D">
            <w:pPr>
              <w:widowControl/>
              <w:spacing w:line="360" w:lineRule="exact"/>
              <w:jc w:val="left"/>
            </w:pPr>
            <w:r>
              <w:rPr>
                <w:rFonts w:ascii="仿宋" w:eastAsia="仿宋" w:hAnsi="仿宋" w:cs="仿宋" w:hint="eastAsia"/>
                <w:b/>
                <w:bCs/>
                <w:color w:val="000000"/>
                <w:kern w:val="0"/>
                <w:sz w:val="24"/>
              </w:rPr>
              <w:t>对建设单位未按照要求交存、补足物业保修金的处罚</w:t>
            </w:r>
          </w:p>
        </w:tc>
      </w:tr>
      <w:tr w:rsidR="0078339B" w:rsidTr="00FA222D">
        <w:trPr>
          <w:trHeight w:val="1258"/>
        </w:trPr>
        <w:tc>
          <w:tcPr>
            <w:tcW w:w="172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第七十三条 建设单位违反本条例规定，有下列情形之一的，由区物业管理行政主管部门责令限期改正；逾期不改正的，按照下列规定进行处罚：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（三）违反本条例第三十六条规定，未按照要求交存、补足物业保修金的，处二十万元以上三十万元以下罚款。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第三十六条  建设单位在房屋产权初始登记之前，应当按照物业建筑安装总造价百分之二的比例交存物业保修金，作为物业保修期内维修费用的保障。物业保修金不得纳入房屋建设成本。</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物业保修金实行“统一交存、权属不变、专款专用、政府监管”的原则，由市、区物业管理行政主管部门指定的机构统一管理。在物业保修金交存期内，建设单位不履行保修责任或者因歇业、破产等原因无法履行保修责任的，维修费用在物业保修金中列支。</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物业保修金交存期限为五年。交存期内，物业保修金不足的，建设单位应当补足；交存期满后，物业保修金有余额的，应当返还建设单位。</w:t>
            </w:r>
          </w:p>
        </w:tc>
      </w:tr>
      <w:tr w:rsidR="0078339B" w:rsidTr="00FA222D">
        <w:trPr>
          <w:trHeight w:val="285"/>
        </w:trPr>
        <w:tc>
          <w:tcPr>
            <w:tcW w:w="172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4"/>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r>
              <w:rPr>
                <w:rFonts w:ascii="仿宋" w:eastAsia="仿宋" w:hAnsi="仿宋" w:cs="仿宋" w:hint="eastAsia"/>
                <w:kern w:val="0"/>
                <w:sz w:val="24"/>
              </w:rPr>
              <w:t>情形描述</w:t>
            </w:r>
          </w:p>
        </w:tc>
        <w:tc>
          <w:tcPr>
            <w:tcW w:w="1999"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kern w:val="0"/>
                <w:sz w:val="24"/>
              </w:rPr>
            </w:pPr>
          </w:p>
          <w:p w:rsidR="0078339B" w:rsidRDefault="0078339B" w:rsidP="00FA222D">
            <w:pPr>
              <w:widowControl/>
              <w:spacing w:line="360" w:lineRule="exact"/>
              <w:rPr>
                <w:rFonts w:ascii="仿宋" w:eastAsia="仿宋" w:hAnsi="仿宋" w:cs="仿宋"/>
                <w:kern w:val="0"/>
                <w:sz w:val="24"/>
              </w:rPr>
            </w:pPr>
          </w:p>
          <w:p w:rsidR="0078339B" w:rsidRDefault="0078339B" w:rsidP="00FA222D">
            <w:pPr>
              <w:widowControl/>
              <w:spacing w:line="360" w:lineRule="exact"/>
              <w:rPr>
                <w:rFonts w:ascii="仿宋" w:eastAsia="仿宋" w:hAnsi="仿宋" w:cs="仿宋"/>
                <w:kern w:val="0"/>
                <w:sz w:val="24"/>
              </w:rPr>
            </w:pPr>
            <w:r>
              <w:rPr>
                <w:rFonts w:ascii="仿宋" w:eastAsia="仿宋" w:hAnsi="仿宋" w:cs="仿宋" w:hint="eastAsia"/>
                <w:kern w:val="0"/>
                <w:sz w:val="24"/>
              </w:rPr>
              <w:t>未按要求交存物业保修金或未按要求补足物业保修金且逾期不改正的</w:t>
            </w:r>
          </w:p>
        </w:tc>
        <w:tc>
          <w:tcPr>
            <w:tcW w:w="4020"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未交存物业保修金所属物业管理区域总建筑面积不超过5万平方米的或未补足物业保修金数额占首期归集资金数额40%以下的</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r>
              <w:rPr>
                <w:rFonts w:ascii="仿宋" w:eastAsia="仿宋" w:hAnsi="仿宋" w:cs="仿宋" w:hint="eastAsia"/>
                <w:kern w:val="0"/>
                <w:sz w:val="24"/>
              </w:rPr>
              <w:t>裁量幅度</w:t>
            </w:r>
          </w:p>
        </w:tc>
        <w:tc>
          <w:tcPr>
            <w:tcW w:w="4272"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处二十万元以上二十三万元以下罚款</w:t>
            </w:r>
          </w:p>
        </w:tc>
      </w:tr>
      <w:tr w:rsidR="0078339B" w:rsidTr="00FA222D">
        <w:trPr>
          <w:trHeight w:val="45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p>
        </w:tc>
        <w:tc>
          <w:tcPr>
            <w:tcW w:w="1999"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020"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未交存物业保修金所属物业管理区域总建筑面积5万平方米以上15万平方米以下的或未补足物业保修金数额占首期归集资金数额40%以上70%以下的</w:t>
            </w:r>
          </w:p>
        </w:tc>
        <w:tc>
          <w:tcPr>
            <w:tcW w:w="201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272"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处二十三万元以上二十六万元以下罚款</w:t>
            </w:r>
          </w:p>
        </w:tc>
      </w:tr>
      <w:tr w:rsidR="0078339B" w:rsidTr="00FA222D">
        <w:trPr>
          <w:trHeight w:val="9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p>
        </w:tc>
        <w:tc>
          <w:tcPr>
            <w:tcW w:w="1999"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020"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未交存物业保修金所属物业管理区域总建筑面积15万平方米以上的或未补足物业保修金数额占首期归集资金数额70%以上的</w:t>
            </w:r>
          </w:p>
        </w:tc>
        <w:tc>
          <w:tcPr>
            <w:tcW w:w="201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272"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处二十六万元以上三十万元以下罚款</w:t>
            </w:r>
          </w:p>
        </w:tc>
      </w:tr>
    </w:tbl>
    <w:p w:rsidR="0078339B" w:rsidRDefault="0078339B" w:rsidP="0078339B">
      <w:pPr>
        <w:rPr>
          <w:rFonts w:ascii="仿宋" w:eastAsia="仿宋" w:hAnsi="仿宋" w:cs="仿宋"/>
          <w:color w:val="FF0000"/>
        </w:rPr>
      </w:pPr>
    </w:p>
    <w:p w:rsidR="0078339B" w:rsidRDefault="0078339B" w:rsidP="0078339B">
      <w:pPr>
        <w:rPr>
          <w:rFonts w:ascii="仿宋" w:eastAsia="仿宋" w:hAnsi="仿宋" w:cs="仿宋"/>
        </w:rPr>
      </w:pPr>
    </w:p>
    <w:tbl>
      <w:tblPr>
        <w:tblW w:w="0" w:type="auto"/>
        <w:tblInd w:w="88" w:type="dxa"/>
        <w:tblLayout w:type="fixed"/>
        <w:tblLook w:val="04A0" w:firstRow="1" w:lastRow="0" w:firstColumn="1" w:lastColumn="0" w:noHBand="0" w:noVBand="1"/>
      </w:tblPr>
      <w:tblGrid>
        <w:gridCol w:w="1721"/>
        <w:gridCol w:w="2062"/>
        <w:gridCol w:w="3960"/>
        <w:gridCol w:w="2040"/>
        <w:gridCol w:w="4239"/>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对建设单位未按照要求委托物业服务第三方评估机构对物业服务企业履行合同约定的服务标准进行评估的处罚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第七十三条 建设单位违反本条例规定，有下列情形之一的，由区物业管理行政主管部门责令限期改正；逾期不改正的，按照下列规定进行处罚：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（四）违反本条例第三十八条规定，未按照要求委托物业服务第三方评估机构对物业服务企业履行合同约定的服务标准进行评估的，处五万元以上十万元以下罚款。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第三十八条  已交付使用物业业主总人数百分之十以上的业主，因对建设单位选聘的物业服务企业的服务质量不满意，要求物业服务第三方评估机构评估的，建设单位应当委托其与业主、物业服务企业协商选定的第三方评估机构，对物业服务企业的履约情况进行评估。协商不成的，由物业管理行政主管部门随机抽取第三方评估机构。评估结果在一年内有效，并向全体业主公告，同时告知物业管理行政主管部门。</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经评估物业服务不符合履约标准的，建设单位可以按照合同约定更换物业服务企业，或者要求物业服务企业限期整改；逾期不整改的，建设单位应当向物业管理行政主管部门报告，由物业管理行政主管部门录入物业服务企业信用档案，并向社会公示。</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62"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逾期不改正的</w:t>
            </w:r>
          </w:p>
        </w:tc>
        <w:tc>
          <w:tcPr>
            <w:tcW w:w="3960"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行政处罚立案前改正的</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3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处五万元以上六万元以下罚款</w:t>
            </w:r>
          </w:p>
        </w:tc>
      </w:tr>
      <w:tr w:rsidR="0078339B" w:rsidTr="00FA222D">
        <w:trPr>
          <w:trHeight w:val="285"/>
        </w:trPr>
        <w:tc>
          <w:tcPr>
            <w:tcW w:w="1721" w:type="dxa"/>
            <w:vMerge/>
            <w:tcBorders>
              <w:top w:val="single" w:sz="4" w:space="0" w:color="auto"/>
              <w:left w:val="single" w:sz="4"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62" w:type="dxa"/>
            <w:vMerge/>
            <w:tcBorders>
              <w:top w:val="single" w:sz="4"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60" w:type="dxa"/>
            <w:tcBorders>
              <w:top w:val="single" w:sz="4"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040" w:type="dxa"/>
            <w:vMerge/>
            <w:tcBorders>
              <w:top w:val="single" w:sz="4" w:space="0" w:color="auto"/>
              <w:left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39" w:type="dxa"/>
            <w:tcBorders>
              <w:top w:val="single" w:sz="4"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处六万元以上八万元以下罚款</w:t>
            </w:r>
          </w:p>
        </w:tc>
      </w:tr>
      <w:tr w:rsidR="0078339B" w:rsidTr="00FA222D">
        <w:trPr>
          <w:trHeight w:val="285"/>
        </w:trPr>
        <w:tc>
          <w:tcPr>
            <w:tcW w:w="1721" w:type="dxa"/>
            <w:vMerge/>
            <w:tcBorders>
              <w:top w:val="single" w:sz="8" w:space="0" w:color="auto"/>
              <w:left w:val="single" w:sz="4"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62"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6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040" w:type="dxa"/>
            <w:vMerge/>
            <w:tcBorders>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39"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处八万元以上十万元以下罚款</w:t>
            </w:r>
          </w:p>
        </w:tc>
      </w:tr>
    </w:tbl>
    <w:p w:rsidR="0078339B" w:rsidRDefault="0078339B" w:rsidP="0078339B">
      <w:pPr>
        <w:rPr>
          <w:rFonts w:ascii="仿宋" w:eastAsia="仿宋" w:hAnsi="仿宋" w:cs="仿宋"/>
        </w:rPr>
      </w:pPr>
    </w:p>
    <w:tbl>
      <w:tblPr>
        <w:tblW w:w="0" w:type="auto"/>
        <w:tblInd w:w="88" w:type="dxa"/>
        <w:tblLayout w:type="fixed"/>
        <w:tblLook w:val="04A0" w:firstRow="1" w:lastRow="0" w:firstColumn="1" w:lastColumn="0" w:noHBand="0" w:noVBand="1"/>
      </w:tblPr>
      <w:tblGrid>
        <w:gridCol w:w="1721"/>
        <w:gridCol w:w="2032"/>
        <w:gridCol w:w="4005"/>
        <w:gridCol w:w="2025"/>
        <w:gridCol w:w="4239"/>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对建设单位未按照要求交纳住宅专项维修资金的处罚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第七十三条 建设单位违反本条例规定，有下列情形之一的，由区物业管理行政主管部门责令限期改正；逾期不改正的，按照下列规定进行处罚：</w:t>
            </w:r>
          </w:p>
          <w:p w:rsidR="0078339B" w:rsidRDefault="0078339B" w:rsidP="0078339B">
            <w:pPr>
              <w:widowControl/>
              <w:numPr>
                <w:ilvl w:val="0"/>
                <w:numId w:val="6"/>
              </w:numPr>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违反本条例第五十九条规定，未按照要求交纳住宅专项维修资金的，处应交纳资金百分之十以上百分之三十以下的罚款。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第五十九条  建设单位应当在办理房屋所有权初始登记之前，将首期住宅专项维修资金一次性交存至住宅专项维修资金专户，并在物业交付使用时向业主收取。</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受让土地的住宅物业配置电梯的，建设单位应当在办理房屋所有权初始登记前交存电梯、消防等设施设备专项维修资金，纳入物业管理区域住宅专项维修资金管理。</w:t>
            </w:r>
          </w:p>
        </w:tc>
      </w:tr>
      <w:tr w:rsidR="0078339B" w:rsidTr="00FA222D">
        <w:trPr>
          <w:trHeight w:val="285"/>
        </w:trPr>
        <w:tc>
          <w:tcPr>
            <w:tcW w:w="1721" w:type="dxa"/>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4"/>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32"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逾期不改正的</w:t>
            </w:r>
          </w:p>
        </w:tc>
        <w:tc>
          <w:tcPr>
            <w:tcW w:w="4005"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行政处罚立案前改正的</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3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处应交纳资金百分之十以上百分之十五以下罚款</w:t>
            </w:r>
          </w:p>
        </w:tc>
      </w:tr>
      <w:tr w:rsidR="0078339B" w:rsidTr="00FA222D">
        <w:trPr>
          <w:trHeight w:val="28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005"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025"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3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处应交纳资金百分之十五以上百分之二十以下罚款</w:t>
            </w:r>
          </w:p>
        </w:tc>
      </w:tr>
      <w:tr w:rsidR="0078339B" w:rsidTr="00FA222D">
        <w:trPr>
          <w:trHeight w:val="44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005"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025"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3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处应交纳资金百分之二十以上百分之三十以下罚款</w:t>
            </w:r>
          </w:p>
        </w:tc>
      </w:tr>
    </w:tbl>
    <w:p w:rsidR="0078339B" w:rsidRDefault="0078339B" w:rsidP="0078339B">
      <w:pPr>
        <w:rPr>
          <w:rFonts w:ascii="仿宋" w:eastAsia="仿宋" w:hAnsi="仿宋" w:cs="仿宋"/>
        </w:rPr>
      </w:pPr>
    </w:p>
    <w:tbl>
      <w:tblPr>
        <w:tblW w:w="0" w:type="auto"/>
        <w:tblInd w:w="88" w:type="dxa"/>
        <w:tblLayout w:type="fixed"/>
        <w:tblLook w:val="04A0" w:firstRow="1" w:lastRow="0" w:firstColumn="1" w:lastColumn="0" w:noHBand="0" w:noVBand="1"/>
      </w:tblPr>
      <w:tblGrid>
        <w:gridCol w:w="1721"/>
        <w:gridCol w:w="5977"/>
        <w:gridCol w:w="2100"/>
        <w:gridCol w:w="4224"/>
      </w:tblGrid>
      <w:tr w:rsidR="0078339B" w:rsidTr="00FA222D">
        <w:trPr>
          <w:trHeight w:val="285"/>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3"/>
            <w:tcBorders>
              <w:top w:val="single" w:sz="8" w:space="0" w:color="auto"/>
              <w:left w:val="nil"/>
              <w:bottom w:val="single" w:sz="8" w:space="0" w:color="auto"/>
              <w:right w:val="single" w:sz="8" w:space="0" w:color="000000"/>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对建设单位未按照要求配置物业服务用房的处罚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第七十三条第二款 违反本条例第三十四条规定，未按照要求配置物业服务用房的，由区物业管理行政主管部门责令限期改正，给予警告，没收违法所得，并处二十万元以上五十万元以下罚款。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第三十四条 建设单位依照法律、法规规定的程序通过招标、投标选聘前期物业服务企业，签订前期物业服务合同。建设单位与物业买受人签订的商品房买卖合同的附件应当包括前期物业服务合同和临时管理规约。</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前期物业服务合同中应当载明下列内容：</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（一）物业服务内容、标准、收费价格和委托代收费事项；</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（二）各分项服务的标准（含人员配置）和费用分项测算；</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（三）分项费用和主要成本变动联动调整的约定；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（四）物业服务标准的评估方式；</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（五）物业服务用房（含业主委员会议事活动用房）的面积和位置；</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（六）共用部位、共用设施设备清册；</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（七）业主共有资金专用账户的设立、查询方式，以及利用共用部位、共用设施设备开展经营活动所得收益的核算及分配办法；</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（八）违约责任和合同解除的条件；</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（九）与前期物业服务有关的其他事项。</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《江苏省物业管理条例》:</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第三十五条 新建住宅物业管理区域内，建设单位应当按照不低于地上地下总建筑面积千分之四的比例配置物业服务用房，低于一百平方米的按照一百平方米配置，并无偿移交。其中，用于业主委员会议事活动用房的，应当按照配置物业服务用房的比例合理确定，一般按照建筑面积二十至四十平方米配置。</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集中建设的保障性住房还应当按照不低于总建筑面积千分之三增加配置物业服务经营性用房，收益用于弥补物业费不足。</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配置物业服务用房、业主委员会议事活动用房、物业服务经营性用房的具体标准，由设区的市人民政府制定。</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lastRenderedPageBreak/>
              <w:t>第三十六条 物业服务用房应当是地面以上的房屋，由建设单位装修，具备独立、正常使用功能，相对集中安排在住宅小区中心区域或者住宅小区出入口附近。物业服务用房设置在住宅楼内的，应当具有独立的通道。</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物业服务用房不计入分摊公用建筑面积，其所有权属于全体业主。建设单位在申请办理房屋所有权初始登记时，应当注明物业服务用房并申请登记。</w:t>
            </w:r>
          </w:p>
        </w:tc>
      </w:tr>
      <w:tr w:rsidR="0078339B" w:rsidTr="00FA222D">
        <w:trPr>
          <w:trHeight w:val="285"/>
        </w:trPr>
        <w:tc>
          <w:tcPr>
            <w:tcW w:w="1721" w:type="dxa"/>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301" w:type="dxa"/>
            <w:gridSpan w:val="3"/>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警告，没收违法所得，罚款</w:t>
            </w:r>
          </w:p>
        </w:tc>
      </w:tr>
      <w:tr w:rsidR="0078339B" w:rsidTr="00FA222D">
        <w:trPr>
          <w:trHeight w:val="285"/>
        </w:trPr>
        <w:tc>
          <w:tcPr>
            <w:tcW w:w="14022" w:type="dxa"/>
            <w:gridSpan w:val="4"/>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r>
              <w:rPr>
                <w:rFonts w:ascii="仿宋" w:eastAsia="仿宋" w:hAnsi="仿宋" w:cs="仿宋" w:hint="eastAsia"/>
                <w:kern w:val="0"/>
                <w:sz w:val="24"/>
              </w:rPr>
              <w:t>情形描述</w:t>
            </w: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配置物业服务用房面积在规定标准3/4以上但未达到规定标准的。配置位置不符合规定的从重处罚</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r>
              <w:rPr>
                <w:rFonts w:ascii="仿宋" w:eastAsia="仿宋" w:hAnsi="仿宋" w:cs="仿宋" w:hint="eastAsia"/>
                <w:kern w:val="0"/>
                <w:sz w:val="24"/>
              </w:rPr>
              <w:t>裁量幅度</w:t>
            </w:r>
          </w:p>
        </w:tc>
        <w:tc>
          <w:tcPr>
            <w:tcW w:w="422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警告，没收违法所得，并处二十万元以上三十万元以下罚款</w:t>
            </w:r>
          </w:p>
        </w:tc>
      </w:tr>
      <w:tr w:rsidR="0078339B" w:rsidTr="00FA222D">
        <w:trPr>
          <w:trHeight w:val="28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配置物业服务用房面积在规定标准1/2至3/4的。配置位置不符合规定的从重处罚</w:t>
            </w:r>
          </w:p>
        </w:tc>
        <w:tc>
          <w:tcPr>
            <w:tcW w:w="210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22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警告，没收违法所得，并处三十万元以上四十万元以下罚款</w:t>
            </w:r>
          </w:p>
        </w:tc>
      </w:tr>
      <w:tr w:rsidR="0078339B" w:rsidTr="00FA222D">
        <w:trPr>
          <w:trHeight w:val="28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配置物业服务用房面积不足规定标准1/2的。配置位置不符合规定的从重处罚</w:t>
            </w:r>
          </w:p>
        </w:tc>
        <w:tc>
          <w:tcPr>
            <w:tcW w:w="210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22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警告，没收违法所得，并处四十万元以上五十万元以下罚款</w:t>
            </w:r>
          </w:p>
        </w:tc>
      </w:tr>
    </w:tbl>
    <w:p w:rsidR="0078339B" w:rsidRDefault="0078339B" w:rsidP="0078339B">
      <w:pPr>
        <w:rPr>
          <w:rFonts w:ascii="仿宋" w:eastAsia="仿宋" w:hAnsi="仿宋" w:cs="仿宋"/>
        </w:rPr>
      </w:pPr>
    </w:p>
    <w:tbl>
      <w:tblPr>
        <w:tblW w:w="0" w:type="auto"/>
        <w:tblInd w:w="88" w:type="dxa"/>
        <w:tblLayout w:type="fixed"/>
        <w:tblLook w:val="04A0" w:firstRow="1" w:lastRow="0" w:firstColumn="1" w:lastColumn="0" w:noHBand="0" w:noVBand="1"/>
      </w:tblPr>
      <w:tblGrid>
        <w:gridCol w:w="1721"/>
        <w:gridCol w:w="2062"/>
        <w:gridCol w:w="3930"/>
        <w:gridCol w:w="2115"/>
        <w:gridCol w:w="4194"/>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对物业服务企业未公示相关信息的处罚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第七十四条  物业服务企业违反本条例第四十四条规定，未公示相关信息的，由区物业管理行政主管部门责令限期改正；逾期不改正的，处三万元以上五万元以下罚款。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第四十四条  物业服务企业应当将下列信息在物业管理区域内显著位置公示：</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（一）物业服务企业的资质证书、项目负责人的基本情况、联系方式、物业服务投诉电话；</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（二）物业服务合同约定的服务内容、服务标准、收费项目、收费标准、收费方式等；</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（三）电梯、消防、监控等专项设施设备的日常维修保养单位的名称、资质、联系方式和应急处置方案等；</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（四）业主交纳物业服务费用、公共水电分摊费用情况，住宅专项维修资金使用情况、物业共用部位和共用设施设备经营所得收益；</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（五）房屋装饰装修及使用过程中的结构变动等安全事项；</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（六）其他应当公示的信息。</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业主对公示内容有异议的，物业服务企业应当予以答复。</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413"/>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62"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逾期不改正的</w:t>
            </w:r>
          </w:p>
        </w:tc>
        <w:tc>
          <w:tcPr>
            <w:tcW w:w="393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未公示本条例第四十四条中三项以下资料的</w:t>
            </w:r>
          </w:p>
        </w:tc>
        <w:tc>
          <w:tcPr>
            <w:tcW w:w="2115"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194" w:type="dxa"/>
            <w:tcBorders>
              <w:top w:val="single" w:sz="8" w:space="0" w:color="auto"/>
              <w:left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处三万元以上四万元以下罚款</w:t>
            </w:r>
          </w:p>
        </w:tc>
      </w:tr>
      <w:tr w:rsidR="0078339B" w:rsidTr="00FA222D">
        <w:trPr>
          <w:trHeight w:val="285"/>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62"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3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未公示本条例第四十四条中三项以上资料的</w:t>
            </w:r>
          </w:p>
        </w:tc>
        <w:tc>
          <w:tcPr>
            <w:tcW w:w="211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9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处四万元以上五万元以下罚款</w:t>
            </w:r>
          </w:p>
        </w:tc>
      </w:tr>
    </w:tbl>
    <w:p w:rsidR="0078339B" w:rsidRDefault="0078339B" w:rsidP="0078339B">
      <w:pPr>
        <w:pStyle w:val="WW-Default"/>
      </w:pPr>
    </w:p>
    <w:p w:rsidR="0078339B" w:rsidRDefault="0078339B" w:rsidP="0078339B">
      <w:pPr>
        <w:widowControl/>
        <w:jc w:val="center"/>
      </w:pPr>
      <w:r>
        <w:rPr>
          <w:rFonts w:ascii="方正小标宋_GBK" w:eastAsia="方正小标宋_GBK" w:hint="eastAsia"/>
          <w:snapToGrid w:val="0"/>
          <w:color w:val="000000"/>
          <w:kern w:val="0"/>
          <w:sz w:val="32"/>
          <w:szCs w:val="32"/>
        </w:rPr>
        <w:t>二、房屋租赁类</w:t>
      </w:r>
    </w:p>
    <w:tbl>
      <w:tblPr>
        <w:tblW w:w="0" w:type="auto"/>
        <w:tblInd w:w="88" w:type="dxa"/>
        <w:tblLayout w:type="fixed"/>
        <w:tblLook w:val="04A0" w:firstRow="1" w:lastRow="0" w:firstColumn="1" w:lastColumn="0" w:noHBand="0" w:noVBand="1"/>
      </w:tblPr>
      <w:tblGrid>
        <w:gridCol w:w="1721"/>
        <w:gridCol w:w="1551"/>
        <w:gridCol w:w="840"/>
        <w:gridCol w:w="3631"/>
        <w:gridCol w:w="2055"/>
        <w:gridCol w:w="4224"/>
      </w:tblGrid>
      <w:tr w:rsidR="0078339B" w:rsidTr="00FA222D">
        <w:trPr>
          <w:trHeight w:val="380"/>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5"/>
            <w:tcBorders>
              <w:top w:val="single" w:sz="8" w:space="0" w:color="auto"/>
              <w:left w:val="nil"/>
              <w:bottom w:val="single" w:sz="8" w:space="0" w:color="auto"/>
              <w:right w:val="single" w:sz="8" w:space="0" w:color="000000"/>
            </w:tcBorders>
            <w:vAlign w:val="center"/>
          </w:tcPr>
          <w:p w:rsidR="0078339B" w:rsidRDefault="0078339B" w:rsidP="00FA222D">
            <w:pPr>
              <w:spacing w:line="540" w:lineRule="exact"/>
              <w:jc w:val="left"/>
              <w:rPr>
                <w:rFonts w:ascii="仿宋" w:eastAsia="仿宋" w:hAnsi="仿宋" w:cs="仿宋"/>
                <w:sz w:val="24"/>
              </w:rPr>
            </w:pPr>
            <w:r>
              <w:rPr>
                <w:rFonts w:ascii="仿宋" w:eastAsia="仿宋" w:hAnsi="仿宋" w:cs="仿宋" w:hint="eastAsia"/>
                <w:b/>
                <w:bCs/>
                <w:sz w:val="24"/>
              </w:rPr>
              <w:t>对房屋租赁当事人、住房租赁企业或者房地产经纪机构提交虚假住房租赁登记备案材料的处罚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【地方政府规章】《南京市房屋租赁管理办法》（南京市人民政府令第338号）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第四十三条 违反本办法第十四条规定，房屋租赁当事人、住房租赁企业或者房地产经纪机构提交虚假住房租赁登记备案材料的，由房产部门责令限期改正；逾期未改正的，对个人处一百元以上五百元以下罚款，对单位处一万元以上三万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第十四条 房屋租赁当事人应当在签订房屋租赁合同后三十日内，向房屋所在地房产部门或者其委托的镇人民政府、街道办事处申请房屋租赁登记备案，并提交下列材料：</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（一）房屋权属证书或者其他房屋权属材料；</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（二）房屋租赁合同；</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xml:space="preserve">    （三）房屋租赁当事人身份证件等合法证明。</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房屋租赁合同变更或者解除的，房屋租赁当事人应当在三十日内向原备案机关申请办理房屋租赁登记备案变更后者注销手续。</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住房租赁企业出租住房的，由住房租赁企业办理房屋租赁登记备案。房地产经纪机构促成房屋租赁合同订立的，可以代为办理房屋租赁登记备案。</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房屋租赁当事人、住房租赁企业和房地产经纪机构提交的材料应当真实、合法、有效，不得提交虚假材料。</w:t>
            </w:r>
          </w:p>
        </w:tc>
      </w:tr>
      <w:tr w:rsidR="0078339B" w:rsidTr="00FA222D">
        <w:trPr>
          <w:trHeight w:val="542"/>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6"/>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8" w:space="0" w:color="auto"/>
              <w:left w:val="single" w:sz="4"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1551" w:type="dxa"/>
            <w:vMerge w:val="restart"/>
            <w:tcBorders>
              <w:top w:val="single" w:sz="8" w:space="0" w:color="auto"/>
              <w:left w:val="single" w:sz="4"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逾期未按照要求改正的</w:t>
            </w:r>
          </w:p>
        </w:tc>
        <w:tc>
          <w:tcPr>
            <w:tcW w:w="840" w:type="dxa"/>
            <w:vMerge w:val="restart"/>
            <w:tcBorders>
              <w:top w:val="single" w:sz="8" w:space="0" w:color="auto"/>
              <w:left w:val="single" w:sz="4"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个人</w:t>
            </w:r>
          </w:p>
        </w:tc>
        <w:tc>
          <w:tcPr>
            <w:tcW w:w="3631" w:type="dxa"/>
            <w:tcBorders>
              <w:top w:val="single" w:sz="8" w:space="0" w:color="auto"/>
              <w:left w:val="nil"/>
              <w:bottom w:val="single" w:sz="8"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提供虚假材料涉及第十四条规定的备案材料其中一项的</w:t>
            </w:r>
          </w:p>
        </w:tc>
        <w:tc>
          <w:tcPr>
            <w:tcW w:w="2055" w:type="dxa"/>
            <w:vMerge w:val="restart"/>
            <w:tcBorders>
              <w:top w:val="single" w:sz="8" w:space="0" w:color="auto"/>
              <w:left w:val="nil"/>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24" w:type="dxa"/>
            <w:tcBorders>
              <w:top w:val="single" w:sz="8" w:space="0" w:color="auto"/>
              <w:left w:val="single" w:sz="4"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处一百元以上二百元以下罚款</w:t>
            </w:r>
          </w:p>
        </w:tc>
      </w:tr>
      <w:tr w:rsidR="0078339B" w:rsidTr="00FA222D">
        <w:trPr>
          <w:trHeight w:val="285"/>
        </w:trPr>
        <w:tc>
          <w:tcPr>
            <w:tcW w:w="1721" w:type="dxa"/>
            <w:vMerge/>
            <w:tcBorders>
              <w:top w:val="single" w:sz="8"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8"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tcBorders>
              <w:top w:val="single" w:sz="8"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631" w:type="dxa"/>
            <w:tcBorders>
              <w:top w:val="single" w:sz="8"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提供虚假材料涉及第十四条规定的备案材料其中二项的</w:t>
            </w:r>
          </w:p>
        </w:tc>
        <w:tc>
          <w:tcPr>
            <w:tcW w:w="2055" w:type="dxa"/>
            <w:vMerge/>
            <w:tcBorders>
              <w:left w:val="nil"/>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8" w:space="0" w:color="auto"/>
              <w:left w:val="single" w:sz="4" w:space="0" w:color="auto"/>
              <w:bottom w:val="single" w:sz="4"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处二百元以上三百元以下罚款</w:t>
            </w:r>
          </w:p>
        </w:tc>
      </w:tr>
      <w:tr w:rsidR="0078339B" w:rsidTr="00FA222D">
        <w:trPr>
          <w:trHeight w:val="27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提供虚假材料涉及第十四条规定的备案材料其中三项的</w:t>
            </w:r>
          </w:p>
        </w:tc>
        <w:tc>
          <w:tcPr>
            <w:tcW w:w="2055" w:type="dxa"/>
            <w:vMerge/>
            <w:tcBorders>
              <w:left w:val="nil"/>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处三百元以上五百元以下罚款</w:t>
            </w:r>
          </w:p>
        </w:tc>
      </w:tr>
      <w:tr w:rsidR="0078339B" w:rsidTr="00FA222D">
        <w:trPr>
          <w:trHeight w:val="233"/>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单位</w:t>
            </w:r>
          </w:p>
        </w:tc>
        <w:tc>
          <w:tcPr>
            <w:tcW w:w="363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提供虚假材料涉及第十四条规定的备案材料其中一项的</w:t>
            </w:r>
          </w:p>
        </w:tc>
        <w:tc>
          <w:tcPr>
            <w:tcW w:w="2055" w:type="dxa"/>
            <w:vMerge/>
            <w:tcBorders>
              <w:left w:val="nil"/>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处一万元以上一万五千元以下罚款</w:t>
            </w:r>
          </w:p>
        </w:tc>
      </w:tr>
      <w:tr w:rsidR="0078339B" w:rsidTr="00FA222D">
        <w:trPr>
          <w:trHeight w:val="33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提供虚假材料涉及第十四条规定的备案材料其中二项的</w:t>
            </w:r>
          </w:p>
        </w:tc>
        <w:tc>
          <w:tcPr>
            <w:tcW w:w="2055" w:type="dxa"/>
            <w:vMerge/>
            <w:tcBorders>
              <w:left w:val="nil"/>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处一万五千元以上二万元以下罚款</w:t>
            </w:r>
          </w:p>
        </w:tc>
      </w:tr>
      <w:tr w:rsidR="0078339B" w:rsidTr="00FA222D">
        <w:trPr>
          <w:trHeight w:val="24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提供虚假材料涉及第十四条规定的备案材料其中三项的</w:t>
            </w:r>
          </w:p>
        </w:tc>
        <w:tc>
          <w:tcPr>
            <w:tcW w:w="2055" w:type="dxa"/>
            <w:vMerge/>
            <w:tcBorders>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处二万元以上三万元以下罚款</w:t>
            </w:r>
          </w:p>
        </w:tc>
      </w:tr>
    </w:tbl>
    <w:p w:rsidR="0078339B" w:rsidRDefault="0078339B" w:rsidP="0078339B">
      <w:pPr>
        <w:rPr>
          <w:rFonts w:ascii="Times New Roman" w:hAnsi="Times New Roman"/>
          <w:color w:val="000000"/>
        </w:rPr>
      </w:pPr>
    </w:p>
    <w:tbl>
      <w:tblPr>
        <w:tblW w:w="0" w:type="auto"/>
        <w:tblInd w:w="88" w:type="dxa"/>
        <w:tblLayout w:type="fixed"/>
        <w:tblLook w:val="04A0" w:firstRow="1" w:lastRow="0" w:firstColumn="1" w:lastColumn="0" w:noHBand="0" w:noVBand="1"/>
      </w:tblPr>
      <w:tblGrid>
        <w:gridCol w:w="1721"/>
        <w:gridCol w:w="2077"/>
        <w:gridCol w:w="3915"/>
        <w:gridCol w:w="2100"/>
        <w:gridCol w:w="4204"/>
      </w:tblGrid>
      <w:tr w:rsidR="0078339B" w:rsidTr="00FA222D">
        <w:trPr>
          <w:trHeight w:val="290"/>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4"/>
            <w:tcBorders>
              <w:top w:val="single" w:sz="8" w:space="0" w:color="auto"/>
              <w:left w:val="nil"/>
              <w:bottom w:val="single" w:sz="8" w:space="0" w:color="auto"/>
              <w:right w:val="single" w:sz="8" w:space="0" w:color="000000"/>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sz w:val="24"/>
              </w:rPr>
              <w:t>对从事转租经营的住房租赁企业未设立住房租赁资金监管账户的处罚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【地方政府规章】《南京市房屋租赁管理办法》（南京市人民政府令第338号）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xml:space="preserve">    第四十四条 违反本办法第二十二条第一、二款规定，从事转租经营的住房租赁企业未设立住房租赁资金监管账户，或者未按照规定收集、使用监管账户资金的，由房产部门责令限期改正；逾期未改正的，由房产部门予以通报批评，可处以三万元以上十五万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第二十二条 从事转租经营的住房租赁企业应当按照国家有关规定在商业银行设立住房租赁资金监管账户。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从事转租经营的住房租赁企业单次收取租金超过三个月的，或者单次收取押金超过一个月的，应当将收取的租金、押金纳入住房租赁资金监管账户，通过住房租赁资金监管账户向房屋权利人支付租金、向承租人退还押金。</w:t>
            </w:r>
          </w:p>
        </w:tc>
      </w:tr>
      <w:tr w:rsidR="0078339B" w:rsidTr="00FA222D">
        <w:trPr>
          <w:trHeight w:val="542"/>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通报批评、罚款</w:t>
            </w:r>
          </w:p>
        </w:tc>
      </w:tr>
      <w:tr w:rsidR="0078339B" w:rsidTr="00FA222D">
        <w:trPr>
          <w:trHeight w:val="285"/>
        </w:trPr>
        <w:tc>
          <w:tcPr>
            <w:tcW w:w="14017"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90"/>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77"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逾期未按照要求改正的</w:t>
            </w:r>
          </w:p>
        </w:tc>
        <w:tc>
          <w:tcPr>
            <w:tcW w:w="391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行政处罚立案前改正的</w:t>
            </w:r>
          </w:p>
        </w:tc>
        <w:tc>
          <w:tcPr>
            <w:tcW w:w="2100"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0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通报批评，可处三万元以上五万元以下罚款</w:t>
            </w:r>
          </w:p>
        </w:tc>
      </w:tr>
      <w:tr w:rsidR="0078339B" w:rsidTr="00FA222D">
        <w:trPr>
          <w:trHeight w:val="458"/>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2077"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91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100"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0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通报批评，可处五万元以上十万元以下罚款</w:t>
            </w:r>
          </w:p>
        </w:tc>
      </w:tr>
      <w:tr w:rsidR="0078339B" w:rsidTr="00FA222D">
        <w:trPr>
          <w:trHeight w:val="405"/>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77"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未按照要求改正的</w:t>
            </w:r>
          </w:p>
        </w:tc>
        <w:tc>
          <w:tcPr>
            <w:tcW w:w="391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100"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0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通报批评，可处十万元以上十五万元以下罚款</w:t>
            </w:r>
          </w:p>
        </w:tc>
      </w:tr>
    </w:tbl>
    <w:p w:rsidR="0078339B" w:rsidRDefault="0078339B" w:rsidP="0078339B"/>
    <w:tbl>
      <w:tblPr>
        <w:tblW w:w="0" w:type="auto"/>
        <w:tblInd w:w="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21"/>
        <w:gridCol w:w="2077"/>
        <w:gridCol w:w="3915"/>
        <w:gridCol w:w="2025"/>
        <w:gridCol w:w="4279"/>
      </w:tblGrid>
      <w:tr w:rsidR="0078339B" w:rsidTr="00FA222D">
        <w:trPr>
          <w:trHeight w:val="285"/>
        </w:trPr>
        <w:tc>
          <w:tcPr>
            <w:tcW w:w="1721" w:type="dxa"/>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4"/>
            <w:tcBorders>
              <w:tl2br w:val="nil"/>
              <w:tr2bl w:val="nil"/>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sz w:val="24"/>
              </w:rPr>
              <w:t>对从事转租经营的住房租赁企业未按照规定归集、使用监管账户资金的处罚</w:t>
            </w:r>
          </w:p>
        </w:tc>
      </w:tr>
      <w:tr w:rsidR="0078339B" w:rsidTr="00FA222D">
        <w:trPr>
          <w:trHeight w:val="90"/>
        </w:trPr>
        <w:tc>
          <w:tcPr>
            <w:tcW w:w="1721" w:type="dxa"/>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296" w:type="dxa"/>
            <w:gridSpan w:val="4"/>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【地方政府规章】《南京市房屋租赁管理办法》（南京市人民政府令第338号）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第四十四条 违反本办法第二十二条第一、二款规定，从事转租经营的住房租赁企业未设立住房租赁资金监管账户，或者未按照规定收集、使用监管账户资金的，由房产部门责令限期改正；逾期未改正的，由房产部门予以通报批评，可处以三万元以上十五万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第二十二条 从事转租经营的住房租赁企业应当按照国家有关规定在商业银行设立住房租赁资金监管账户。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从事转租经营的住房租赁企业单次收取租金超过三个月的，或者单次收取押金超过一个月的，应当将收取的租金、押金纳入住房租赁资金监管账户，通过住房租赁资金监管账户向房屋权利人支付租金、向承租人退还押金。</w:t>
            </w:r>
          </w:p>
        </w:tc>
      </w:tr>
      <w:tr w:rsidR="0078339B" w:rsidTr="00FA222D">
        <w:trPr>
          <w:trHeight w:val="272"/>
        </w:trPr>
        <w:tc>
          <w:tcPr>
            <w:tcW w:w="1721" w:type="dxa"/>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296" w:type="dxa"/>
            <w:gridSpan w:val="4"/>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通报批评、罚款</w:t>
            </w:r>
          </w:p>
        </w:tc>
      </w:tr>
      <w:tr w:rsidR="0078339B" w:rsidTr="00FA222D">
        <w:trPr>
          <w:trHeight w:val="285"/>
        </w:trPr>
        <w:tc>
          <w:tcPr>
            <w:tcW w:w="14017" w:type="dxa"/>
            <w:gridSpan w:val="5"/>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540"/>
        </w:trPr>
        <w:tc>
          <w:tcPr>
            <w:tcW w:w="1721" w:type="dxa"/>
            <w:vMerge w:val="restart"/>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77" w:type="dxa"/>
            <w:vMerge w:val="restart"/>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逾期未按照要求改正的</w:t>
            </w:r>
          </w:p>
        </w:tc>
        <w:tc>
          <w:tcPr>
            <w:tcW w:w="3915"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行政处罚立案前改正的</w:t>
            </w:r>
          </w:p>
        </w:tc>
        <w:tc>
          <w:tcPr>
            <w:tcW w:w="2025" w:type="dxa"/>
            <w:vMerge w:val="restart"/>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79"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通报批评，可处三万元以上五万元以下罚款</w:t>
            </w:r>
          </w:p>
        </w:tc>
      </w:tr>
      <w:tr w:rsidR="0078339B" w:rsidTr="00FA222D">
        <w:trPr>
          <w:trHeight w:val="194"/>
        </w:trPr>
        <w:tc>
          <w:tcPr>
            <w:tcW w:w="1721" w:type="dxa"/>
            <w:vMerge/>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2077" w:type="dxa"/>
            <w:vMerge/>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915"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025" w:type="dxa"/>
            <w:vMerge/>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79"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通报批评，可处五万元以上十万元以下罚款</w:t>
            </w:r>
          </w:p>
        </w:tc>
      </w:tr>
      <w:tr w:rsidR="0078339B" w:rsidTr="00FA222D">
        <w:trPr>
          <w:trHeight w:val="104"/>
        </w:trPr>
        <w:tc>
          <w:tcPr>
            <w:tcW w:w="1721" w:type="dxa"/>
            <w:vMerge/>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77" w:type="dxa"/>
            <w:vMerge/>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未按照要求改正的</w:t>
            </w:r>
          </w:p>
        </w:tc>
        <w:tc>
          <w:tcPr>
            <w:tcW w:w="3915"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025" w:type="dxa"/>
            <w:vMerge/>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79"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通报批评，可处十万元以上十五万元以下罚款</w:t>
            </w:r>
          </w:p>
        </w:tc>
      </w:tr>
    </w:tbl>
    <w:p w:rsidR="0078339B" w:rsidRDefault="0078339B" w:rsidP="0078339B">
      <w:pPr>
        <w:pStyle w:val="WW-Default"/>
        <w:rPr>
          <w:rFonts w:ascii="方正小标宋_GBK" w:eastAsia="方正小标宋_GBK"/>
          <w:snapToGrid w:val="0"/>
          <w:sz w:val="32"/>
          <w:szCs w:val="32"/>
        </w:rPr>
      </w:pPr>
    </w:p>
    <w:p w:rsidR="0078339B" w:rsidRDefault="0078339B" w:rsidP="0078339B">
      <w:pPr>
        <w:widowControl/>
        <w:jc w:val="center"/>
      </w:pPr>
      <w:r>
        <w:rPr>
          <w:rFonts w:ascii="方正小标宋_GBK" w:eastAsia="方正小标宋_GBK" w:hint="eastAsia"/>
          <w:snapToGrid w:val="0"/>
          <w:color w:val="000000"/>
          <w:kern w:val="0"/>
          <w:sz w:val="32"/>
          <w:szCs w:val="32"/>
        </w:rPr>
        <w:t>三、近现代建筑保护类</w:t>
      </w:r>
    </w:p>
    <w:tbl>
      <w:tblPr>
        <w:tblW w:w="0" w:type="auto"/>
        <w:tblInd w:w="88" w:type="dxa"/>
        <w:tblLayout w:type="fixed"/>
        <w:tblLook w:val="04A0" w:firstRow="1" w:lastRow="0" w:firstColumn="1" w:lastColumn="0" w:noHBand="0" w:noVBand="1"/>
      </w:tblPr>
      <w:tblGrid>
        <w:gridCol w:w="1721"/>
        <w:gridCol w:w="2032"/>
        <w:gridCol w:w="3975"/>
        <w:gridCol w:w="2055"/>
        <w:gridCol w:w="4234"/>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sz w:val="24"/>
              </w:rPr>
              <w:t>对擅自修缮重要建筑或者未按照批准的修缮方案修缮的处罚</w:t>
            </w:r>
          </w:p>
        </w:tc>
      </w:tr>
      <w:tr w:rsidR="0078339B" w:rsidTr="00FA222D">
        <w:trPr>
          <w:trHeight w:val="90"/>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【地方性法规】《南京市重要近现代建筑和近现代建筑风貌区保护条例》</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第四十条 违反本条例规定，擅自修缮重要建筑或者未按照批准的修缮方案修缮的，由市房产行政主管部门责令其改正，并可处以二百元以上二千元以下罚款；造成严重后果的，处以五千元以上五万元以下罚款。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第二十八条 重要建筑的所有人、使用人和管理人修缮房屋的，应当在施工前将修缮方案报市房产行政主管部门审查批准，市房产行政主管部门应当自接到方案之日起七日内作出决定。对符合修缮规定的，予以批准；不予批准的，书面说明理由。逾期未书面答复的，视为批准。</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重要建筑的所有人、使用人和管理人应当按照批准的修缮方案进行施工，不得擅自变更。</w:t>
            </w:r>
          </w:p>
        </w:tc>
      </w:tr>
      <w:tr w:rsidR="0078339B" w:rsidTr="00FA222D">
        <w:trPr>
          <w:trHeight w:val="212"/>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17"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650"/>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6007" w:type="dxa"/>
            <w:gridSpan w:val="2"/>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修缮部位不涉及《保护规划图则》中的保护要点，未造成严重后果的</w:t>
            </w:r>
          </w:p>
        </w:tc>
        <w:tc>
          <w:tcPr>
            <w:tcW w:w="2055"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裁量基准</w:t>
            </w:r>
          </w:p>
        </w:tc>
        <w:tc>
          <w:tcPr>
            <w:tcW w:w="423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可处二百元以上二千元以下罚款</w:t>
            </w:r>
          </w:p>
        </w:tc>
      </w:tr>
      <w:tr w:rsidR="0078339B" w:rsidTr="00FA222D">
        <w:trPr>
          <w:trHeight w:val="583"/>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2032"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造成严重后果的</w:t>
            </w:r>
          </w:p>
        </w:tc>
        <w:tc>
          <w:tcPr>
            <w:tcW w:w="397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修缮部位涉及《保护规划图则》中的保护要点，行政处罚立案前已按照要求改正的</w:t>
            </w:r>
          </w:p>
        </w:tc>
        <w:tc>
          <w:tcPr>
            <w:tcW w:w="205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3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处五千元以上二万元以下罚款</w:t>
            </w:r>
          </w:p>
        </w:tc>
      </w:tr>
      <w:tr w:rsidR="0078339B" w:rsidTr="00FA222D">
        <w:trPr>
          <w:trHeight w:val="555"/>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2032"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97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修缮部位涉及《保护规划图则》中的保护要点，行政处罚立案前未按照要求改正的</w:t>
            </w:r>
          </w:p>
        </w:tc>
        <w:tc>
          <w:tcPr>
            <w:tcW w:w="205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3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处二万元以上五万元以下罚款</w:t>
            </w:r>
          </w:p>
        </w:tc>
      </w:tr>
    </w:tbl>
    <w:p w:rsidR="0078339B" w:rsidRDefault="0078339B" w:rsidP="0078339B"/>
    <w:tbl>
      <w:tblPr>
        <w:tblW w:w="0" w:type="auto"/>
        <w:tblInd w:w="88" w:type="dxa"/>
        <w:tblLayout w:type="fixed"/>
        <w:tblLook w:val="04A0" w:firstRow="1" w:lastRow="0" w:firstColumn="1" w:lastColumn="0" w:noHBand="0" w:noVBand="1"/>
      </w:tblPr>
      <w:tblGrid>
        <w:gridCol w:w="1721"/>
        <w:gridCol w:w="5977"/>
        <w:gridCol w:w="2100"/>
        <w:gridCol w:w="4219"/>
      </w:tblGrid>
      <w:tr w:rsidR="0078339B" w:rsidTr="00FA222D">
        <w:trPr>
          <w:trHeight w:val="285"/>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3"/>
            <w:tcBorders>
              <w:top w:val="single" w:sz="8" w:space="0" w:color="auto"/>
              <w:left w:val="nil"/>
              <w:bottom w:val="single" w:sz="8" w:space="0" w:color="auto"/>
              <w:right w:val="single" w:sz="8" w:space="0" w:color="000000"/>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sz w:val="24"/>
              </w:rPr>
              <w:t>对擅自设置、移动、涂改或者损毁标志牌的处罚</w:t>
            </w:r>
          </w:p>
        </w:tc>
      </w:tr>
      <w:tr w:rsidR="0078339B" w:rsidTr="00FA222D">
        <w:trPr>
          <w:trHeight w:val="90"/>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296"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【地方性法规】《南京市重要近现代建筑和近现代建筑风貌区保护条例》</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第三十八条 违反本条例规定，擅自设置、移动、涂改或者损毁标志牌的，由市房产行政主管部门处以二百元以上二千元以下罚款。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第二十五条 重要建筑和风貌区（含被依法确定为文物保护单位的重要建筑和被依法确定为历史文化街区的风貌区），由市房产行政主管部门设置统一的标志牌。标志牌中应当标明重要建筑或者风貌区的名称、文化艺术价值、历史背景等内容。</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任何单位和个人不得擅自设置、移动、涂改或者损毁标志牌。</w:t>
            </w:r>
          </w:p>
        </w:tc>
      </w:tr>
      <w:tr w:rsidR="0078339B" w:rsidTr="00FA222D">
        <w:trPr>
          <w:trHeight w:val="362"/>
        </w:trPr>
        <w:tc>
          <w:tcPr>
            <w:tcW w:w="1721" w:type="dxa"/>
            <w:tcBorders>
              <w:top w:val="single" w:sz="8" w:space="0" w:color="auto"/>
              <w:left w:val="single" w:sz="8"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296" w:type="dxa"/>
            <w:gridSpan w:val="3"/>
            <w:tcBorders>
              <w:top w:val="single" w:sz="8" w:space="0" w:color="auto"/>
              <w:left w:val="nil"/>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17" w:type="dxa"/>
            <w:gridSpan w:val="4"/>
            <w:tcBorders>
              <w:top w:val="nil"/>
              <w:left w:val="single" w:sz="8" w:space="0" w:color="auto"/>
              <w:bottom w:val="single" w:sz="4" w:space="0" w:color="auto"/>
              <w:right w:val="single" w:sz="8" w:space="0" w:color="000000"/>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90"/>
        </w:trPr>
        <w:tc>
          <w:tcPr>
            <w:tcW w:w="1721" w:type="dxa"/>
            <w:vMerge w:val="restart"/>
            <w:tcBorders>
              <w:top w:val="single" w:sz="4" w:space="0" w:color="auto"/>
              <w:left w:val="single" w:sz="4" w:space="0" w:color="auto"/>
              <w:bottom w:val="single" w:sz="4" w:space="0" w:color="auto"/>
              <w:right w:val="single" w:sz="4" w:space="0" w:color="auto"/>
            </w:tcBorders>
            <w:vAlign w:val="bottom"/>
          </w:tcPr>
          <w:p w:rsidR="0078339B" w:rsidRDefault="0078339B" w:rsidP="00FA222D">
            <w:pPr>
              <w:widowControl/>
              <w:spacing w:line="320" w:lineRule="exact"/>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p w:rsidR="0078339B" w:rsidRDefault="0078339B" w:rsidP="00FA222D">
            <w:pPr>
              <w:widowControl/>
              <w:spacing w:line="320" w:lineRule="exact"/>
              <w:jc w:val="center"/>
              <w:rPr>
                <w:rFonts w:ascii="仿宋" w:eastAsia="仿宋" w:hAnsi="仿宋" w:cs="仿宋"/>
                <w:color w:val="000000"/>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擅自设置、移动标志牌的</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裁量基准</w:t>
            </w:r>
          </w:p>
        </w:tc>
        <w:tc>
          <w:tcPr>
            <w:tcW w:w="421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处二百元以上五百元以下罚款</w:t>
            </w:r>
          </w:p>
        </w:tc>
      </w:tr>
      <w:tr w:rsidR="0078339B" w:rsidTr="00FA222D">
        <w:trPr>
          <w:trHeight w:val="43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擅自涂改标志牌的</w:t>
            </w:r>
          </w:p>
        </w:tc>
        <w:tc>
          <w:tcPr>
            <w:tcW w:w="210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1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处五百元以上一千元以下罚款</w:t>
            </w:r>
          </w:p>
        </w:tc>
      </w:tr>
      <w:tr w:rsidR="0078339B" w:rsidTr="00FA222D">
        <w:trPr>
          <w:trHeight w:val="313"/>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擅自损毁标志牌的</w:t>
            </w:r>
          </w:p>
        </w:tc>
        <w:tc>
          <w:tcPr>
            <w:tcW w:w="210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p>
        </w:tc>
        <w:tc>
          <w:tcPr>
            <w:tcW w:w="421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处一千元以上二千元以下罚款</w:t>
            </w:r>
          </w:p>
        </w:tc>
      </w:tr>
    </w:tbl>
    <w:p w:rsidR="0078339B" w:rsidRDefault="0078339B" w:rsidP="0078339B"/>
    <w:tbl>
      <w:tblPr>
        <w:tblW w:w="0" w:type="auto"/>
        <w:tblInd w:w="88" w:type="dxa"/>
        <w:tblLayout w:type="fixed"/>
        <w:tblLook w:val="04A0" w:firstRow="1" w:lastRow="0" w:firstColumn="1" w:lastColumn="0" w:noHBand="0" w:noVBand="1"/>
      </w:tblPr>
      <w:tblGrid>
        <w:gridCol w:w="1721"/>
        <w:gridCol w:w="6022"/>
        <w:gridCol w:w="2085"/>
        <w:gridCol w:w="4189"/>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color w:val="000000"/>
                <w:kern w:val="0"/>
                <w:sz w:val="24"/>
              </w:rPr>
              <w:t>对擅自拆除或者迁移重要建筑和风貌区内建筑的处罚</w:t>
            </w:r>
          </w:p>
        </w:tc>
      </w:tr>
      <w:tr w:rsidR="0078339B" w:rsidTr="00FA222D">
        <w:trPr>
          <w:trHeight w:val="1646"/>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法律依据</w:t>
            </w:r>
          </w:p>
        </w:tc>
        <w:tc>
          <w:tcPr>
            <w:tcW w:w="12296"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【地方性法规】《南京市重要近现代建筑和近现代建筑风貌区保护条例》</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第三十九条 违反本条例规定，擅自拆除或者迁移重要建筑和风貌区内建筑的，由市房产行政主管部门责令其恢复原状，并可处以该建筑重置价一至三倍的罚款。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第二十条 重要建筑和风貌区内的建筑不得擅自拆除或者迁移。因重大市政基础设施建设和保护需要，必须拆除或者迁移的，由市规划行政主管部门会同市房产、文物行政主管部门提出，并征求有关区、县人民政府和单位意见，经专家委员会评审，报市人民政府批准。</w:t>
            </w:r>
          </w:p>
        </w:tc>
      </w:tr>
      <w:tr w:rsidR="0078339B" w:rsidTr="00FA222D">
        <w:trPr>
          <w:trHeight w:val="422"/>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296"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373"/>
        </w:trPr>
        <w:tc>
          <w:tcPr>
            <w:tcW w:w="14017"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344"/>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6022"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经专家委员会评定可恢复原状，行政处罚立案前恢复原状的</w:t>
            </w:r>
          </w:p>
        </w:tc>
        <w:tc>
          <w:tcPr>
            <w:tcW w:w="2085"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189"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可处该建筑重置价一倍以上一点五倍以下的罚款</w:t>
            </w:r>
          </w:p>
        </w:tc>
      </w:tr>
      <w:tr w:rsidR="0078339B" w:rsidTr="00FA222D">
        <w:trPr>
          <w:trHeight w:val="329"/>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6022"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经专家委员会评定可恢复原状，行政处罚立案前未恢复原状的</w:t>
            </w:r>
          </w:p>
        </w:tc>
        <w:tc>
          <w:tcPr>
            <w:tcW w:w="208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189"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可处该建筑重置价一点五倍以上二倍以下的罚款</w:t>
            </w:r>
          </w:p>
        </w:tc>
      </w:tr>
      <w:tr w:rsidR="0078339B" w:rsidTr="00FA222D">
        <w:trPr>
          <w:trHeight w:val="555"/>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6022"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经专家委员会评定不可恢复原状的</w:t>
            </w:r>
          </w:p>
        </w:tc>
        <w:tc>
          <w:tcPr>
            <w:tcW w:w="208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p>
        </w:tc>
        <w:tc>
          <w:tcPr>
            <w:tcW w:w="4189"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可处该建筑重置价二倍以上三倍以下的罚款</w:t>
            </w:r>
          </w:p>
        </w:tc>
      </w:tr>
    </w:tbl>
    <w:p w:rsidR="0078339B" w:rsidRDefault="0078339B" w:rsidP="0078339B">
      <w:pPr>
        <w:pStyle w:val="WW-Default"/>
        <w:rPr>
          <w:rFonts w:ascii="方正小标宋_GBK" w:eastAsia="方正小标宋_GBK"/>
          <w:snapToGrid w:val="0"/>
          <w:sz w:val="32"/>
          <w:szCs w:val="32"/>
        </w:rPr>
      </w:pPr>
    </w:p>
    <w:p w:rsidR="0078339B" w:rsidRDefault="0078339B" w:rsidP="0078339B">
      <w:pPr>
        <w:widowControl/>
        <w:jc w:val="center"/>
      </w:pPr>
      <w:r>
        <w:rPr>
          <w:rFonts w:ascii="方正小标宋_GBK" w:eastAsia="方正小标宋_GBK" w:hint="eastAsia"/>
          <w:snapToGrid w:val="0"/>
          <w:color w:val="000000"/>
          <w:kern w:val="0"/>
          <w:sz w:val="32"/>
          <w:szCs w:val="32"/>
        </w:rPr>
        <w:t>四、行政强制类</w:t>
      </w:r>
    </w:p>
    <w:tbl>
      <w:tblPr>
        <w:tblW w:w="0" w:type="auto"/>
        <w:tblInd w:w="91" w:type="dxa"/>
        <w:tblLayout w:type="fixed"/>
        <w:tblLook w:val="04A0" w:firstRow="1" w:lastRow="0" w:firstColumn="1" w:lastColumn="0" w:noHBand="0" w:noVBand="1"/>
      </w:tblPr>
      <w:tblGrid>
        <w:gridCol w:w="1721"/>
        <w:gridCol w:w="2029"/>
        <w:gridCol w:w="4005"/>
        <w:gridCol w:w="2101"/>
        <w:gridCol w:w="4166"/>
      </w:tblGrid>
      <w:tr w:rsidR="0078339B" w:rsidTr="00FA222D">
        <w:trPr>
          <w:trHeight w:val="567"/>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b/>
                <w:bCs/>
                <w:color w:val="000000"/>
                <w:kern w:val="0"/>
                <w:sz w:val="24"/>
              </w:rPr>
              <w:t>对正在进行的违法拆改施工现场进行查封，对违法施工设备、工具和建筑材料进行扣押</w:t>
            </w:r>
          </w:p>
        </w:tc>
      </w:tr>
      <w:tr w:rsidR="0078339B" w:rsidTr="00FA222D">
        <w:trPr>
          <w:trHeight w:val="201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【地方性法规】《南京市房屋使用安全管理条例》 </w:t>
            </w:r>
          </w:p>
          <w:p w:rsidR="0078339B" w:rsidRDefault="0078339B" w:rsidP="00FA222D">
            <w:pPr>
              <w:widowControl/>
              <w:spacing w:line="32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第五十九条　房屋安全行政主管部门应当会同规划、建设、城市管理、公安、镇人民政府、街道办事处建立房屋安全联合执法机制，依法查处危害或者可能危害房屋安全的违法行为。 </w:t>
            </w:r>
          </w:p>
          <w:p w:rsidR="0078339B" w:rsidRDefault="0078339B" w:rsidP="00FA222D">
            <w:pPr>
              <w:widowControl/>
              <w:spacing w:line="32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房屋安全行政主管部门对正在进行的违法拆改房屋行为，应当责令立即停止施工；必要时可以查封施工现场，扣押违法施工的设备、工具和建筑材料。 </w:t>
            </w:r>
          </w:p>
          <w:p w:rsidR="0078339B" w:rsidRDefault="0078339B" w:rsidP="00FA222D">
            <w:pPr>
              <w:widowControl/>
              <w:spacing w:line="32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装饰装修行政主管部门应当加强对装饰装修工程和单位的管理，发现违法行为及时查处。</w:t>
            </w:r>
          </w:p>
        </w:tc>
      </w:tr>
      <w:tr w:rsidR="0078339B" w:rsidTr="00FA222D">
        <w:trPr>
          <w:trHeight w:val="410"/>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强制种类</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查封、扣押</w:t>
            </w:r>
          </w:p>
        </w:tc>
      </w:tr>
      <w:tr w:rsidR="0078339B" w:rsidTr="00FA222D">
        <w:trPr>
          <w:trHeight w:val="405"/>
        </w:trPr>
        <w:tc>
          <w:tcPr>
            <w:tcW w:w="14022"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3"/>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29"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正在进行的违法拆改行为</w:t>
            </w: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涉及装饰装修拆改房屋主要承重构件、抗震措施的，超过设计标准增大荷载的</w:t>
            </w:r>
          </w:p>
        </w:tc>
        <w:tc>
          <w:tcPr>
            <w:tcW w:w="2101" w:type="dxa"/>
            <w:vMerge w:val="restart"/>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166" w:type="dxa"/>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可查封施工现场，扣押违法施工的设备、工具和建筑材料</w:t>
            </w:r>
          </w:p>
        </w:tc>
      </w:tr>
      <w:tr w:rsidR="0078339B" w:rsidTr="00FA222D">
        <w:trPr>
          <w:trHeight w:val="283"/>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29"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涉及在楼面结构层开凿、扩大洞口，或者拆改房屋中抗震、防火措施以外的非承重墙体的，经责令改正未按要求停止施工的 </w:t>
            </w:r>
          </w:p>
        </w:tc>
        <w:tc>
          <w:tcPr>
            <w:tcW w:w="2101" w:type="dxa"/>
            <w:vMerge/>
            <w:tcBorders>
              <w:top w:val="single" w:sz="4"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66"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可查封施工现场，扣押违法施工的设备、工具和建筑材料</w:t>
            </w:r>
          </w:p>
        </w:tc>
      </w:tr>
      <w:tr w:rsidR="0078339B" w:rsidTr="00FA222D">
        <w:trPr>
          <w:trHeight w:val="283"/>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29"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涉及在楼面结构层开凿、扩大洞口，或者拆改房屋中抗震、防火措施以外的非承重墙体的，经责令改正已按要求停止施工的</w:t>
            </w:r>
          </w:p>
        </w:tc>
        <w:tc>
          <w:tcPr>
            <w:tcW w:w="2101" w:type="dxa"/>
            <w:vMerge/>
            <w:tcBorders>
              <w:top w:val="single" w:sz="4"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66"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可不查封施工现场或不扣押违法施工的设备、工具和建筑材料</w:t>
            </w:r>
          </w:p>
        </w:tc>
      </w:tr>
      <w:tr w:rsidR="0078339B" w:rsidTr="00FA222D">
        <w:trPr>
          <w:trHeight w:val="283"/>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29"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装饰装修拆改房屋主要承重构件、抗震措施的，超过设计标准增大荷</w:t>
            </w:r>
            <w:r>
              <w:rPr>
                <w:rFonts w:ascii="仿宋" w:eastAsia="仿宋" w:hAnsi="仿宋" w:cs="仿宋" w:hint="eastAsia"/>
                <w:color w:val="000000"/>
                <w:kern w:val="0"/>
                <w:sz w:val="24"/>
              </w:rPr>
              <w:lastRenderedPageBreak/>
              <w:t>载，已按要求恢复原状的；或者依法依规办理规划和施工许可手续的</w:t>
            </w:r>
          </w:p>
        </w:tc>
        <w:tc>
          <w:tcPr>
            <w:tcW w:w="2101" w:type="dxa"/>
            <w:vMerge/>
            <w:tcBorders>
              <w:top w:val="single" w:sz="4"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66"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可解除相关查封、扣押措施</w:t>
            </w:r>
          </w:p>
        </w:tc>
      </w:tr>
      <w:tr w:rsidR="0078339B" w:rsidTr="00FA222D">
        <w:trPr>
          <w:trHeight w:val="730"/>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29"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在楼面结构层开凿、扩大洞口，或者拆改房屋中抗震、防火措施以外的非承重墙体，已按规定取得房屋结构变动安全许可的或按规定完成整改的；或者依法依规办理规划和施工许可手续的</w:t>
            </w:r>
          </w:p>
        </w:tc>
        <w:tc>
          <w:tcPr>
            <w:tcW w:w="2101" w:type="dxa"/>
            <w:vMerge/>
            <w:tcBorders>
              <w:top w:val="single" w:sz="4"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66"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可解除相关查封、扣押措施</w:t>
            </w:r>
          </w:p>
        </w:tc>
      </w:tr>
    </w:tbl>
    <w:p w:rsidR="0078339B" w:rsidRDefault="0078339B" w:rsidP="0078339B"/>
    <w:sectPr w:rsidR="0078339B" w:rsidSect="00492CD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ABE" w:rsidRDefault="00691ABE" w:rsidP="00790F0A">
      <w:r>
        <w:separator/>
      </w:r>
    </w:p>
  </w:endnote>
  <w:endnote w:type="continuationSeparator" w:id="0">
    <w:p w:rsidR="00691ABE" w:rsidRDefault="00691ABE" w:rsidP="0079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ZHTK--GBK1-0">
    <w:altName w:val="Times New Roman"/>
    <w:panose1 w:val="00000000000000000000"/>
    <w:charset w:val="00"/>
    <w:family w:val="roman"/>
    <w:notTrueType/>
    <w:pitch w:val="default"/>
  </w:font>
  <w:font w:name="FZXBSK--GBK1-0">
    <w:altName w:val="Times New Roman"/>
    <w:panose1 w:val="00000000000000000000"/>
    <w:charset w:val="00"/>
    <w:family w:val="roman"/>
    <w:notTrueType/>
    <w:pitch w:val="default"/>
  </w:font>
  <w:font w:name="FZKTK--GBK1-0">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296"/>
      <w:docPartObj>
        <w:docPartGallery w:val="Page Numbers (Bottom of Page)"/>
        <w:docPartUnique/>
      </w:docPartObj>
    </w:sdtPr>
    <w:sdtEndPr/>
    <w:sdtContent>
      <w:p w:rsidR="0078339B" w:rsidRDefault="0078339B">
        <w:pPr>
          <w:pStyle w:val="a7"/>
          <w:jc w:val="center"/>
        </w:pPr>
        <w:r>
          <w:fldChar w:fldCharType="begin"/>
        </w:r>
        <w:r>
          <w:instrText xml:space="preserve"> PAGE   \* MERGEFORMAT </w:instrText>
        </w:r>
        <w:r>
          <w:fldChar w:fldCharType="separate"/>
        </w:r>
        <w:r w:rsidR="00383B35" w:rsidRPr="00383B35">
          <w:rPr>
            <w:noProof/>
            <w:lang w:val="zh-CN"/>
          </w:rPr>
          <w:t>3</w:t>
        </w:r>
        <w:r>
          <w:rPr>
            <w:noProof/>
            <w:lang w:val="zh-CN"/>
          </w:rPr>
          <w:fldChar w:fldCharType="end"/>
        </w:r>
      </w:p>
    </w:sdtContent>
  </w:sdt>
  <w:p w:rsidR="0078339B" w:rsidRDefault="007833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ABE" w:rsidRDefault="00691ABE" w:rsidP="00790F0A">
      <w:r>
        <w:separator/>
      </w:r>
    </w:p>
  </w:footnote>
  <w:footnote w:type="continuationSeparator" w:id="0">
    <w:p w:rsidR="00691ABE" w:rsidRDefault="00691ABE" w:rsidP="0079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905235"/>
    <w:multiLevelType w:val="singleLevel"/>
    <w:tmpl w:val="E7905235"/>
    <w:lvl w:ilvl="0">
      <w:start w:val="1"/>
      <w:numFmt w:val="chineseCounting"/>
      <w:suff w:val="nothing"/>
      <w:lvlText w:val="（%1）"/>
      <w:lvlJc w:val="left"/>
      <w:rPr>
        <w:rFonts w:hint="eastAsia"/>
      </w:rPr>
    </w:lvl>
  </w:abstractNum>
  <w:abstractNum w:abstractNumId="1" w15:restartNumberingAfterBreak="0">
    <w:nsid w:val="0CFA745C"/>
    <w:multiLevelType w:val="multilevel"/>
    <w:tmpl w:val="0CFA745C"/>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14007B09"/>
    <w:multiLevelType w:val="multilevel"/>
    <w:tmpl w:val="14007B09"/>
    <w:lvl w:ilvl="0">
      <w:start w:val="1"/>
      <w:numFmt w:val="decimal"/>
      <w:lvlText w:val="%1"/>
      <w:lvlJc w:val="left"/>
      <w:pPr>
        <w:ind w:left="360" w:hanging="360"/>
      </w:pPr>
      <w:rPr>
        <w:rFonts w:ascii="黑体" w:eastAsia="黑体" w:hAnsi="黑体" w:cs="Times New Roman" w:hint="default"/>
        <w:b w:val="0"/>
        <w:color w:val="auto"/>
      </w:rPr>
    </w:lvl>
    <w:lvl w:ilvl="1">
      <w:start w:val="1"/>
      <w:numFmt w:val="decimal"/>
      <w:lvlText w:val="%1.%2"/>
      <w:lvlJc w:val="left"/>
      <w:pPr>
        <w:ind w:left="360" w:hanging="360"/>
      </w:pPr>
      <w:rPr>
        <w:rFonts w:ascii="黑体" w:eastAsia="黑体" w:hAnsi="黑体" w:cs="Times New Roman" w:hint="default"/>
        <w:b w:val="0"/>
        <w:color w:val="auto"/>
      </w:rPr>
    </w:lvl>
    <w:lvl w:ilvl="2">
      <w:start w:val="1"/>
      <w:numFmt w:val="decimal"/>
      <w:lvlText w:val="%1.%2.%3"/>
      <w:lvlJc w:val="left"/>
      <w:pPr>
        <w:ind w:left="1430" w:hanging="720"/>
      </w:pPr>
      <w:rPr>
        <w:rFonts w:ascii="仿宋_GB2312" w:eastAsia="仿宋_GB2312" w:hAnsi="Times New Roman" w:cs="Times New Roman" w:hint="eastAsia"/>
        <w:b w:val="0"/>
        <w:color w:val="auto"/>
      </w:rPr>
    </w:lvl>
    <w:lvl w:ilvl="3">
      <w:start w:val="1"/>
      <w:numFmt w:val="decimal"/>
      <w:lvlText w:val="%1.%2.%3.%4"/>
      <w:lvlJc w:val="left"/>
      <w:pPr>
        <w:ind w:left="720" w:hanging="720"/>
      </w:pPr>
      <w:rPr>
        <w:rFonts w:ascii="Times New Roman" w:hAnsi="Times New Roman" w:cs="Times New Roman" w:hint="default"/>
        <w:b w:val="0"/>
        <w:color w:val="auto"/>
      </w:rPr>
    </w:lvl>
    <w:lvl w:ilvl="4">
      <w:start w:val="1"/>
      <w:numFmt w:val="decimal"/>
      <w:lvlText w:val="%1.%2.%3.%4.%5"/>
      <w:lvlJc w:val="left"/>
      <w:pPr>
        <w:ind w:left="1080" w:hanging="1080"/>
      </w:pPr>
      <w:rPr>
        <w:rFonts w:ascii="Times New Roman" w:hAnsi="Times New Roman" w:cs="Times New Roman" w:hint="default"/>
        <w:b w:val="0"/>
        <w:color w:val="auto"/>
      </w:rPr>
    </w:lvl>
    <w:lvl w:ilvl="5">
      <w:start w:val="1"/>
      <w:numFmt w:val="decimal"/>
      <w:lvlText w:val="%1.%2.%3.%4.%5.%6"/>
      <w:lvlJc w:val="left"/>
      <w:pPr>
        <w:ind w:left="1080" w:hanging="1080"/>
      </w:pPr>
      <w:rPr>
        <w:rFonts w:ascii="Times New Roman" w:hAnsi="Times New Roman" w:cs="Times New Roman" w:hint="default"/>
        <w:b w:val="0"/>
        <w:color w:val="auto"/>
      </w:rPr>
    </w:lvl>
    <w:lvl w:ilvl="6">
      <w:start w:val="1"/>
      <w:numFmt w:val="decimal"/>
      <w:lvlText w:val="%1.%2.%3.%4.%5.%6.%7"/>
      <w:lvlJc w:val="left"/>
      <w:pPr>
        <w:ind w:left="1080" w:hanging="1080"/>
      </w:pPr>
      <w:rPr>
        <w:rFonts w:ascii="Times New Roman" w:hAnsi="Times New Roman" w:cs="Times New Roman" w:hint="default"/>
        <w:b w:val="0"/>
        <w:color w:val="auto"/>
      </w:rPr>
    </w:lvl>
    <w:lvl w:ilvl="7">
      <w:start w:val="1"/>
      <w:numFmt w:val="decimal"/>
      <w:lvlText w:val="%1.%2.%3.%4.%5.%6.%7.%8"/>
      <w:lvlJc w:val="left"/>
      <w:pPr>
        <w:ind w:left="1440" w:hanging="1440"/>
      </w:pPr>
      <w:rPr>
        <w:rFonts w:ascii="Times New Roman" w:hAnsi="Times New Roman" w:cs="Times New Roman" w:hint="default"/>
        <w:b w:val="0"/>
        <w:color w:val="auto"/>
      </w:rPr>
    </w:lvl>
    <w:lvl w:ilvl="8">
      <w:start w:val="1"/>
      <w:numFmt w:val="decimal"/>
      <w:lvlText w:val="%1.%2.%3.%4.%5.%6.%7.%8.%9"/>
      <w:lvlJc w:val="left"/>
      <w:pPr>
        <w:ind w:left="1440" w:hanging="1440"/>
      </w:pPr>
      <w:rPr>
        <w:rFonts w:ascii="Times New Roman" w:hAnsi="Times New Roman" w:cs="Times New Roman" w:hint="default"/>
        <w:b w:val="0"/>
        <w:color w:val="auto"/>
      </w:rPr>
    </w:lvl>
  </w:abstractNum>
  <w:abstractNum w:abstractNumId="3" w15:restartNumberingAfterBreak="0">
    <w:nsid w:val="569B9F4F"/>
    <w:multiLevelType w:val="singleLevel"/>
    <w:tmpl w:val="569B9F4F"/>
    <w:lvl w:ilvl="0">
      <w:start w:val="1"/>
      <w:numFmt w:val="chineseCountingThousand"/>
      <w:lvlText w:val="第%1条"/>
      <w:lvlJc w:val="left"/>
      <w:pPr>
        <w:tabs>
          <w:tab w:val="num" w:pos="420"/>
        </w:tabs>
        <w:ind w:left="420" w:hanging="420"/>
      </w:pPr>
      <w:rPr>
        <w:rFonts w:eastAsia="黑体" w:hint="eastAsia"/>
        <w:b/>
        <w:i w:val="0"/>
        <w:sz w:val="32"/>
        <w:szCs w:val="32"/>
      </w:rPr>
    </w:lvl>
  </w:abstractNum>
  <w:abstractNum w:abstractNumId="4" w15:restartNumberingAfterBreak="0">
    <w:nsid w:val="56A3979D"/>
    <w:multiLevelType w:val="singleLevel"/>
    <w:tmpl w:val="56A3979D"/>
    <w:lvl w:ilvl="0">
      <w:start w:val="1"/>
      <w:numFmt w:val="chineseCounting"/>
      <w:suff w:val="nothing"/>
      <w:lvlText w:val="（%1）"/>
      <w:lvlJc w:val="left"/>
      <w:rPr>
        <w:rFonts w:cs="Times New Roman"/>
      </w:rPr>
    </w:lvl>
  </w:abstractNum>
  <w:abstractNum w:abstractNumId="5" w15:restartNumberingAfterBreak="0">
    <w:nsid w:val="58F2E30A"/>
    <w:multiLevelType w:val="singleLevel"/>
    <w:tmpl w:val="58F2E30A"/>
    <w:lvl w:ilvl="0">
      <w:start w:val="5"/>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F2"/>
    <w:rsid w:val="0001006C"/>
    <w:rsid w:val="00066EEE"/>
    <w:rsid w:val="000C5CA1"/>
    <w:rsid w:val="00114110"/>
    <w:rsid w:val="00121506"/>
    <w:rsid w:val="0012266D"/>
    <w:rsid w:val="00133DED"/>
    <w:rsid w:val="00156F92"/>
    <w:rsid w:val="00161B84"/>
    <w:rsid w:val="00164B9E"/>
    <w:rsid w:val="00192856"/>
    <w:rsid w:val="00192E15"/>
    <w:rsid w:val="001C12E2"/>
    <w:rsid w:val="001D4910"/>
    <w:rsid w:val="001E3ECE"/>
    <w:rsid w:val="0029113F"/>
    <w:rsid w:val="002B27C5"/>
    <w:rsid w:val="002B6160"/>
    <w:rsid w:val="00331EDA"/>
    <w:rsid w:val="0034267C"/>
    <w:rsid w:val="00345C8E"/>
    <w:rsid w:val="003768B8"/>
    <w:rsid w:val="00383B35"/>
    <w:rsid w:val="003A230C"/>
    <w:rsid w:val="003A6292"/>
    <w:rsid w:val="003B17D7"/>
    <w:rsid w:val="003B5634"/>
    <w:rsid w:val="00411DC3"/>
    <w:rsid w:val="00457906"/>
    <w:rsid w:val="004817F2"/>
    <w:rsid w:val="00486456"/>
    <w:rsid w:val="00492CDD"/>
    <w:rsid w:val="00495862"/>
    <w:rsid w:val="004A5D37"/>
    <w:rsid w:val="004B088A"/>
    <w:rsid w:val="004B0ECA"/>
    <w:rsid w:val="004D61AC"/>
    <w:rsid w:val="004F1D4C"/>
    <w:rsid w:val="005537F7"/>
    <w:rsid w:val="00597C2A"/>
    <w:rsid w:val="005B1683"/>
    <w:rsid w:val="005C2C3F"/>
    <w:rsid w:val="005D5F03"/>
    <w:rsid w:val="005E5F06"/>
    <w:rsid w:val="005F5BE1"/>
    <w:rsid w:val="00604B6C"/>
    <w:rsid w:val="00623371"/>
    <w:rsid w:val="00654609"/>
    <w:rsid w:val="00691ABE"/>
    <w:rsid w:val="006A2DAD"/>
    <w:rsid w:val="006D68E7"/>
    <w:rsid w:val="00721AF2"/>
    <w:rsid w:val="00761B47"/>
    <w:rsid w:val="0078339B"/>
    <w:rsid w:val="00785D5C"/>
    <w:rsid w:val="00790F0A"/>
    <w:rsid w:val="00797326"/>
    <w:rsid w:val="00797C77"/>
    <w:rsid w:val="00824B6B"/>
    <w:rsid w:val="0088692F"/>
    <w:rsid w:val="008A3BF3"/>
    <w:rsid w:val="008B10E5"/>
    <w:rsid w:val="008C1C24"/>
    <w:rsid w:val="008C7459"/>
    <w:rsid w:val="00907F6F"/>
    <w:rsid w:val="0094092F"/>
    <w:rsid w:val="009B2DBA"/>
    <w:rsid w:val="009E34C7"/>
    <w:rsid w:val="00A208BA"/>
    <w:rsid w:val="00A71CCA"/>
    <w:rsid w:val="00AE393C"/>
    <w:rsid w:val="00B174CC"/>
    <w:rsid w:val="00B301A9"/>
    <w:rsid w:val="00B37AC2"/>
    <w:rsid w:val="00B468F3"/>
    <w:rsid w:val="00B47687"/>
    <w:rsid w:val="00B6646D"/>
    <w:rsid w:val="00B71A55"/>
    <w:rsid w:val="00B72AA3"/>
    <w:rsid w:val="00BB3BD7"/>
    <w:rsid w:val="00BB5935"/>
    <w:rsid w:val="00BD1A89"/>
    <w:rsid w:val="00C216D7"/>
    <w:rsid w:val="00C76307"/>
    <w:rsid w:val="00CA3874"/>
    <w:rsid w:val="00CA6FB1"/>
    <w:rsid w:val="00CD412C"/>
    <w:rsid w:val="00CE5704"/>
    <w:rsid w:val="00CF5DCE"/>
    <w:rsid w:val="00D078AD"/>
    <w:rsid w:val="00D34E21"/>
    <w:rsid w:val="00D65644"/>
    <w:rsid w:val="00D661B4"/>
    <w:rsid w:val="00D72F02"/>
    <w:rsid w:val="00DB7A59"/>
    <w:rsid w:val="00DC604D"/>
    <w:rsid w:val="00E45785"/>
    <w:rsid w:val="00E50100"/>
    <w:rsid w:val="00E562D3"/>
    <w:rsid w:val="00E81421"/>
    <w:rsid w:val="00E93B82"/>
    <w:rsid w:val="00EA522E"/>
    <w:rsid w:val="00EF6965"/>
    <w:rsid w:val="00F14582"/>
    <w:rsid w:val="00F9072F"/>
    <w:rsid w:val="00FF67B5"/>
    <w:rsid w:val="00FF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22F19-9213-4D5B-AE2A-619AF367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62"/>
    <w:pPr>
      <w:widowControl w:val="0"/>
      <w:jc w:val="both"/>
    </w:pPr>
  </w:style>
  <w:style w:type="paragraph" w:styleId="1">
    <w:name w:val="heading 1"/>
    <w:basedOn w:val="a"/>
    <w:next w:val="a"/>
    <w:link w:val="10"/>
    <w:qFormat/>
    <w:rsid w:val="00BB593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BB5935"/>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
    <w:next w:val="a"/>
    <w:link w:val="30"/>
    <w:uiPriority w:val="9"/>
    <w:qFormat/>
    <w:rsid w:val="00BB5935"/>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21AF2"/>
    <w:rPr>
      <w:rFonts w:ascii="FZHTK--GBK1-0" w:hAnsi="FZHTK--GBK1-0" w:hint="default"/>
      <w:b w:val="0"/>
      <w:bCs w:val="0"/>
      <w:i w:val="0"/>
      <w:iCs w:val="0"/>
      <w:color w:val="000000"/>
      <w:sz w:val="32"/>
      <w:szCs w:val="32"/>
    </w:rPr>
  </w:style>
  <w:style w:type="character" w:customStyle="1" w:styleId="fontstyle21">
    <w:name w:val="fontstyle21"/>
    <w:basedOn w:val="a0"/>
    <w:rsid w:val="00721AF2"/>
    <w:rPr>
      <w:rFonts w:ascii="FZXBSK--GBK1-0" w:hAnsi="FZXBSK--GBK1-0" w:hint="default"/>
      <w:b w:val="0"/>
      <w:bCs w:val="0"/>
      <w:i w:val="0"/>
      <w:iCs w:val="0"/>
      <w:color w:val="000000"/>
      <w:sz w:val="48"/>
      <w:szCs w:val="48"/>
    </w:rPr>
  </w:style>
  <w:style w:type="character" w:customStyle="1" w:styleId="fontstyle31">
    <w:name w:val="fontstyle31"/>
    <w:basedOn w:val="a0"/>
    <w:rsid w:val="00721AF2"/>
    <w:rPr>
      <w:rFonts w:ascii="FZKTK--GBK1-0" w:hAnsi="FZKTK--GBK1-0" w:hint="default"/>
      <w:b w:val="0"/>
      <w:bCs w:val="0"/>
      <w:i w:val="0"/>
      <w:iCs w:val="0"/>
      <w:color w:val="000000"/>
      <w:sz w:val="44"/>
      <w:szCs w:val="44"/>
    </w:rPr>
  </w:style>
  <w:style w:type="character" w:customStyle="1" w:styleId="fontstyle41">
    <w:name w:val="fontstyle41"/>
    <w:basedOn w:val="a0"/>
    <w:rsid w:val="00721AF2"/>
    <w:rPr>
      <w:rFonts w:ascii="TimesNewRomanPSMT" w:hAnsi="TimesNewRomanPSMT" w:hint="default"/>
      <w:b w:val="0"/>
      <w:bCs w:val="0"/>
      <w:i w:val="0"/>
      <w:iCs w:val="0"/>
      <w:color w:val="000000"/>
      <w:sz w:val="44"/>
      <w:szCs w:val="44"/>
    </w:rPr>
  </w:style>
  <w:style w:type="paragraph" w:styleId="21">
    <w:name w:val="toc 2"/>
    <w:basedOn w:val="a"/>
    <w:next w:val="a"/>
    <w:autoRedefine/>
    <w:unhideWhenUsed/>
    <w:qFormat/>
    <w:rsid w:val="00CA3874"/>
    <w:pPr>
      <w:widowControl/>
      <w:tabs>
        <w:tab w:val="right" w:leader="dot" w:pos="8296"/>
      </w:tabs>
      <w:spacing w:after="100" w:line="320" w:lineRule="exact"/>
      <w:jc w:val="left"/>
    </w:pPr>
    <w:rPr>
      <w:rFonts w:ascii="黑体" w:eastAsia="黑体" w:hAnsi="黑体"/>
      <w:kern w:val="0"/>
      <w:sz w:val="24"/>
      <w:szCs w:val="24"/>
    </w:rPr>
  </w:style>
  <w:style w:type="character" w:styleId="a3">
    <w:name w:val="Hyperlink"/>
    <w:basedOn w:val="a0"/>
    <w:unhideWhenUsed/>
    <w:rsid w:val="00721AF2"/>
    <w:rPr>
      <w:color w:val="0000FF" w:themeColor="hyperlink"/>
      <w:u w:val="single"/>
    </w:rPr>
  </w:style>
  <w:style w:type="character" w:styleId="a4">
    <w:name w:val="FollowedHyperlink"/>
    <w:basedOn w:val="a0"/>
    <w:uiPriority w:val="99"/>
    <w:unhideWhenUsed/>
    <w:rsid w:val="00721AF2"/>
    <w:rPr>
      <w:color w:val="800080" w:themeColor="followedHyperlink"/>
      <w:u w:val="single"/>
    </w:rPr>
  </w:style>
  <w:style w:type="paragraph" w:styleId="a5">
    <w:name w:val="header"/>
    <w:basedOn w:val="a"/>
    <w:link w:val="a6"/>
    <w:uiPriority w:val="99"/>
    <w:unhideWhenUsed/>
    <w:rsid w:val="00790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90F0A"/>
    <w:rPr>
      <w:sz w:val="18"/>
      <w:szCs w:val="18"/>
    </w:rPr>
  </w:style>
  <w:style w:type="paragraph" w:styleId="a7">
    <w:name w:val="footer"/>
    <w:basedOn w:val="a"/>
    <w:link w:val="a8"/>
    <w:uiPriority w:val="99"/>
    <w:unhideWhenUsed/>
    <w:qFormat/>
    <w:rsid w:val="00790F0A"/>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790F0A"/>
    <w:rPr>
      <w:sz w:val="18"/>
      <w:szCs w:val="18"/>
    </w:rPr>
  </w:style>
  <w:style w:type="paragraph" w:styleId="a9">
    <w:name w:val="annotation text"/>
    <w:basedOn w:val="a"/>
    <w:link w:val="aa"/>
    <w:semiHidden/>
    <w:rsid w:val="0012266D"/>
    <w:pPr>
      <w:jc w:val="left"/>
    </w:pPr>
    <w:rPr>
      <w:rFonts w:ascii="Calibri" w:eastAsia="宋体" w:hAnsi="Calibri" w:cs="Times New Roman"/>
      <w:sz w:val="24"/>
      <w:szCs w:val="20"/>
    </w:rPr>
  </w:style>
  <w:style w:type="character" w:customStyle="1" w:styleId="Char">
    <w:name w:val="批注文字 Char"/>
    <w:basedOn w:val="a0"/>
    <w:uiPriority w:val="99"/>
    <w:semiHidden/>
    <w:rsid w:val="0012266D"/>
  </w:style>
  <w:style w:type="character" w:customStyle="1" w:styleId="aa">
    <w:name w:val="批注文字 字符"/>
    <w:link w:val="a9"/>
    <w:semiHidden/>
    <w:locked/>
    <w:rsid w:val="0012266D"/>
    <w:rPr>
      <w:rFonts w:ascii="Calibri" w:eastAsia="宋体" w:hAnsi="Calibri" w:cs="Times New Roman"/>
      <w:sz w:val="24"/>
      <w:szCs w:val="20"/>
    </w:rPr>
  </w:style>
  <w:style w:type="character" w:styleId="ab">
    <w:name w:val="Strong"/>
    <w:basedOn w:val="a0"/>
    <w:qFormat/>
    <w:rsid w:val="009B2DBA"/>
    <w:rPr>
      <w:b/>
      <w:bCs/>
    </w:rPr>
  </w:style>
  <w:style w:type="paragraph" w:styleId="ac">
    <w:name w:val="Date"/>
    <w:basedOn w:val="a"/>
    <w:next w:val="a"/>
    <w:link w:val="ad"/>
    <w:uiPriority w:val="99"/>
    <w:unhideWhenUsed/>
    <w:rsid w:val="00345C8E"/>
    <w:pPr>
      <w:ind w:leftChars="2500" w:left="100"/>
    </w:pPr>
  </w:style>
  <w:style w:type="character" w:customStyle="1" w:styleId="ad">
    <w:name w:val="日期 字符"/>
    <w:basedOn w:val="a0"/>
    <w:link w:val="ac"/>
    <w:uiPriority w:val="99"/>
    <w:semiHidden/>
    <w:rsid w:val="00345C8E"/>
  </w:style>
  <w:style w:type="character" w:customStyle="1" w:styleId="10">
    <w:name w:val="标题 1 字符"/>
    <w:basedOn w:val="a0"/>
    <w:link w:val="1"/>
    <w:rsid w:val="00BB5935"/>
    <w:rPr>
      <w:rFonts w:ascii="Times New Roman" w:eastAsia="宋体" w:hAnsi="Times New Roman" w:cs="Times New Roman"/>
      <w:b/>
      <w:bCs/>
      <w:kern w:val="44"/>
      <w:sz w:val="44"/>
      <w:szCs w:val="44"/>
    </w:rPr>
  </w:style>
  <w:style w:type="character" w:customStyle="1" w:styleId="20">
    <w:name w:val="标题 2 字符"/>
    <w:basedOn w:val="a0"/>
    <w:link w:val="2"/>
    <w:rsid w:val="00BB5935"/>
    <w:rPr>
      <w:rFonts w:ascii="Cambria" w:eastAsia="宋体" w:hAnsi="Cambria" w:cs="黑体"/>
      <w:b/>
      <w:bCs/>
      <w:sz w:val="32"/>
      <w:szCs w:val="32"/>
    </w:rPr>
  </w:style>
  <w:style w:type="character" w:customStyle="1" w:styleId="30">
    <w:name w:val="标题 3 字符"/>
    <w:basedOn w:val="a0"/>
    <w:link w:val="3"/>
    <w:uiPriority w:val="9"/>
    <w:rsid w:val="00BB5935"/>
    <w:rPr>
      <w:rFonts w:ascii="宋体" w:eastAsia="宋体" w:hAnsi="宋体" w:cs="宋体"/>
      <w:b/>
      <w:bCs/>
      <w:kern w:val="0"/>
      <w:sz w:val="27"/>
      <w:szCs w:val="27"/>
    </w:rPr>
  </w:style>
  <w:style w:type="character" w:styleId="ae">
    <w:name w:val="Emphasis"/>
    <w:basedOn w:val="a0"/>
    <w:uiPriority w:val="20"/>
    <w:qFormat/>
    <w:rsid w:val="00BB5935"/>
    <w:rPr>
      <w:i w:val="0"/>
    </w:rPr>
  </w:style>
  <w:style w:type="character" w:styleId="af">
    <w:name w:val="page number"/>
    <w:basedOn w:val="a0"/>
    <w:uiPriority w:val="99"/>
    <w:unhideWhenUsed/>
    <w:rsid w:val="00BB5935"/>
  </w:style>
  <w:style w:type="character" w:styleId="HTML">
    <w:name w:val="HTML Variable"/>
    <w:basedOn w:val="a0"/>
    <w:uiPriority w:val="99"/>
    <w:unhideWhenUsed/>
    <w:rsid w:val="00BB5935"/>
    <w:rPr>
      <w:i w:val="0"/>
    </w:rPr>
  </w:style>
  <w:style w:type="character" w:customStyle="1" w:styleId="bdsmore2">
    <w:name w:val="bds_more2"/>
    <w:basedOn w:val="a0"/>
    <w:rsid w:val="00BB5935"/>
    <w:rPr>
      <w:rFonts w:ascii="宋体" w:eastAsia="宋体" w:hAnsi="宋体" w:cs="宋体" w:hint="eastAsia"/>
    </w:rPr>
  </w:style>
  <w:style w:type="character" w:customStyle="1" w:styleId="bdsnopic1">
    <w:name w:val="bds_nopic1"/>
    <w:basedOn w:val="a0"/>
    <w:rsid w:val="00BB5935"/>
  </w:style>
  <w:style w:type="character" w:customStyle="1" w:styleId="bdsmore1">
    <w:name w:val="bds_more1"/>
    <w:basedOn w:val="a0"/>
    <w:rsid w:val="00BB5935"/>
  </w:style>
  <w:style w:type="character" w:styleId="HTML0">
    <w:name w:val="HTML Code"/>
    <w:basedOn w:val="a0"/>
    <w:uiPriority w:val="99"/>
    <w:unhideWhenUsed/>
    <w:rsid w:val="00BB5935"/>
    <w:rPr>
      <w:rFonts w:ascii="Courier New" w:eastAsia="Courier New" w:hAnsi="Courier New" w:cs="Courier New"/>
      <w:sz w:val="20"/>
    </w:rPr>
  </w:style>
  <w:style w:type="character" w:styleId="HTML1">
    <w:name w:val="HTML Definition"/>
    <w:basedOn w:val="a0"/>
    <w:uiPriority w:val="99"/>
    <w:unhideWhenUsed/>
    <w:rsid w:val="00BB5935"/>
    <w:rPr>
      <w:i w:val="0"/>
    </w:rPr>
  </w:style>
  <w:style w:type="character" w:styleId="HTML2">
    <w:name w:val="HTML Cite"/>
    <w:basedOn w:val="a0"/>
    <w:uiPriority w:val="99"/>
    <w:unhideWhenUsed/>
    <w:rsid w:val="00BB5935"/>
    <w:rPr>
      <w:i w:val="0"/>
    </w:rPr>
  </w:style>
  <w:style w:type="character" w:styleId="HTML3">
    <w:name w:val="HTML Keyboard"/>
    <w:basedOn w:val="a0"/>
    <w:uiPriority w:val="99"/>
    <w:unhideWhenUsed/>
    <w:rsid w:val="00BB5935"/>
    <w:rPr>
      <w:rFonts w:ascii="Courier New" w:eastAsia="Courier New" w:hAnsi="Courier New" w:cs="Courier New" w:hint="default"/>
      <w:sz w:val="20"/>
    </w:rPr>
  </w:style>
  <w:style w:type="character" w:styleId="HTML4">
    <w:name w:val="HTML Sample"/>
    <w:basedOn w:val="a0"/>
    <w:uiPriority w:val="99"/>
    <w:unhideWhenUsed/>
    <w:rsid w:val="00BB5935"/>
    <w:rPr>
      <w:rFonts w:ascii="Courier New" w:eastAsia="Courier New" w:hAnsi="Courier New" w:cs="Courier New" w:hint="default"/>
    </w:rPr>
  </w:style>
  <w:style w:type="character" w:customStyle="1" w:styleId="apple-converted-space">
    <w:name w:val="apple-converted-space"/>
    <w:basedOn w:val="a0"/>
    <w:rsid w:val="00BB5935"/>
  </w:style>
  <w:style w:type="character" w:customStyle="1" w:styleId="bdsmore">
    <w:name w:val="bds_more"/>
    <w:basedOn w:val="a0"/>
    <w:rsid w:val="00BB5935"/>
  </w:style>
  <w:style w:type="character" w:customStyle="1" w:styleId="bdsnopic">
    <w:name w:val="bds_nopic"/>
    <w:basedOn w:val="a0"/>
    <w:rsid w:val="00BB5935"/>
  </w:style>
  <w:style w:type="character" w:customStyle="1" w:styleId="af0">
    <w:name w:val="批注框文本 字符"/>
    <w:basedOn w:val="a0"/>
    <w:link w:val="af1"/>
    <w:uiPriority w:val="99"/>
    <w:rsid w:val="00BB5935"/>
    <w:rPr>
      <w:sz w:val="18"/>
      <w:szCs w:val="18"/>
    </w:rPr>
  </w:style>
  <w:style w:type="paragraph" w:styleId="af1">
    <w:name w:val="Balloon Text"/>
    <w:basedOn w:val="a"/>
    <w:link w:val="af0"/>
    <w:uiPriority w:val="99"/>
    <w:unhideWhenUsed/>
    <w:rsid w:val="00BB5935"/>
    <w:rPr>
      <w:sz w:val="18"/>
      <w:szCs w:val="18"/>
    </w:rPr>
  </w:style>
  <w:style w:type="character" w:customStyle="1" w:styleId="Char1">
    <w:name w:val="批注框文本 Char1"/>
    <w:basedOn w:val="a0"/>
    <w:uiPriority w:val="99"/>
    <w:semiHidden/>
    <w:rsid w:val="00BB5935"/>
    <w:rPr>
      <w:sz w:val="18"/>
      <w:szCs w:val="18"/>
    </w:rPr>
  </w:style>
  <w:style w:type="character" w:customStyle="1" w:styleId="bdsnopic2">
    <w:name w:val="bds_nopic2"/>
    <w:basedOn w:val="a0"/>
    <w:rsid w:val="00BB5935"/>
  </w:style>
  <w:style w:type="character" w:customStyle="1" w:styleId="fontsize">
    <w:name w:val="fontsize"/>
    <w:basedOn w:val="a0"/>
    <w:rsid w:val="00BB5935"/>
    <w:rPr>
      <w:color w:val="444444"/>
    </w:rPr>
  </w:style>
  <w:style w:type="paragraph" w:styleId="af2">
    <w:name w:val="Title"/>
    <w:basedOn w:val="a"/>
    <w:next w:val="a"/>
    <w:link w:val="af3"/>
    <w:qFormat/>
    <w:rsid w:val="00BB5935"/>
    <w:pPr>
      <w:spacing w:before="240" w:after="60"/>
      <w:jc w:val="center"/>
      <w:outlineLvl w:val="0"/>
    </w:pPr>
    <w:rPr>
      <w:rFonts w:ascii="Cambria" w:eastAsia="Times New Roman" w:hAnsi="Cambria" w:cs="Times New Roman"/>
      <w:b/>
      <w:bCs/>
      <w:sz w:val="30"/>
      <w:szCs w:val="32"/>
    </w:rPr>
  </w:style>
  <w:style w:type="character" w:customStyle="1" w:styleId="af3">
    <w:name w:val="标题 字符"/>
    <w:basedOn w:val="a0"/>
    <w:link w:val="af2"/>
    <w:rsid w:val="00BB5935"/>
    <w:rPr>
      <w:rFonts w:ascii="Cambria" w:eastAsia="Times New Roman" w:hAnsi="Cambria" w:cs="Times New Roman"/>
      <w:b/>
      <w:bCs/>
      <w:sz w:val="30"/>
      <w:szCs w:val="32"/>
      <w:lang w:val="en-US" w:eastAsia="zh-CN"/>
    </w:rPr>
  </w:style>
  <w:style w:type="paragraph" w:styleId="af4">
    <w:name w:val="Normal (Web)"/>
    <w:basedOn w:val="a"/>
    <w:uiPriority w:val="99"/>
    <w:unhideWhenUsed/>
    <w:rsid w:val="00BB5935"/>
    <w:pPr>
      <w:widowControl/>
      <w:spacing w:before="100" w:beforeAutospacing="1" w:after="100" w:afterAutospacing="1"/>
      <w:jc w:val="left"/>
    </w:pPr>
    <w:rPr>
      <w:rFonts w:ascii="宋体" w:eastAsia="宋体" w:hAnsi="宋体" w:cs="Times New Roman"/>
      <w:kern w:val="0"/>
      <w:sz w:val="24"/>
    </w:rPr>
  </w:style>
  <w:style w:type="paragraph" w:customStyle="1" w:styleId="Default">
    <w:name w:val="Default"/>
    <w:rsid w:val="00BB5935"/>
    <w:pPr>
      <w:widowControl w:val="0"/>
      <w:autoSpaceDE w:val="0"/>
      <w:autoSpaceDN w:val="0"/>
      <w:adjustRightInd w:val="0"/>
    </w:pPr>
    <w:rPr>
      <w:rFonts w:ascii="黑体" w:eastAsia="黑体" w:hAnsi="Calibri" w:cs="黑体"/>
      <w:color w:val="000000"/>
      <w:kern w:val="0"/>
      <w:sz w:val="24"/>
      <w:szCs w:val="24"/>
    </w:rPr>
  </w:style>
  <w:style w:type="paragraph" w:styleId="af5">
    <w:name w:val="Body Text"/>
    <w:basedOn w:val="Default"/>
    <w:next w:val="Default"/>
    <w:link w:val="af6"/>
    <w:rsid w:val="00BB5935"/>
    <w:rPr>
      <w:color w:val="auto"/>
      <w:kern w:val="2"/>
    </w:rPr>
  </w:style>
  <w:style w:type="character" w:customStyle="1" w:styleId="af6">
    <w:name w:val="正文文本 字符"/>
    <w:basedOn w:val="a0"/>
    <w:link w:val="af5"/>
    <w:rsid w:val="00BB5935"/>
    <w:rPr>
      <w:rFonts w:ascii="黑体" w:eastAsia="黑体" w:hAnsi="Calibri" w:cs="黑体"/>
      <w:sz w:val="24"/>
      <w:szCs w:val="24"/>
    </w:rPr>
  </w:style>
  <w:style w:type="paragraph" w:styleId="22">
    <w:name w:val="Body Text Indent 2"/>
    <w:basedOn w:val="a"/>
    <w:link w:val="23"/>
    <w:rsid w:val="00BB5935"/>
    <w:pPr>
      <w:spacing w:after="120" w:line="480" w:lineRule="auto"/>
      <w:ind w:leftChars="200" w:left="420"/>
    </w:pPr>
    <w:rPr>
      <w:rFonts w:ascii="Calibri" w:eastAsia="宋体" w:hAnsi="Calibri" w:cs="黑体"/>
    </w:rPr>
  </w:style>
  <w:style w:type="character" w:customStyle="1" w:styleId="23">
    <w:name w:val="正文文本缩进 2 字符"/>
    <w:basedOn w:val="a0"/>
    <w:link w:val="22"/>
    <w:rsid w:val="00BB5935"/>
    <w:rPr>
      <w:rFonts w:ascii="Calibri" w:eastAsia="宋体" w:hAnsi="Calibri" w:cs="黑体"/>
    </w:rPr>
  </w:style>
  <w:style w:type="paragraph" w:styleId="11">
    <w:name w:val="toc 1"/>
    <w:basedOn w:val="a"/>
    <w:next w:val="a"/>
    <w:rsid w:val="00BB5935"/>
    <w:pPr>
      <w:tabs>
        <w:tab w:val="left" w:pos="420"/>
        <w:tab w:val="right" w:leader="dot" w:pos="9017"/>
      </w:tabs>
      <w:spacing w:line="360" w:lineRule="auto"/>
    </w:pPr>
    <w:rPr>
      <w:rFonts w:ascii="Calibri" w:eastAsia="宋体" w:hAnsi="Calibri" w:cs="Times New Roman"/>
    </w:rPr>
  </w:style>
  <w:style w:type="paragraph" w:customStyle="1" w:styleId="12">
    <w:name w:val="列出段落1"/>
    <w:basedOn w:val="a"/>
    <w:rsid w:val="00BB5935"/>
    <w:pPr>
      <w:ind w:firstLineChars="200" w:firstLine="420"/>
    </w:pPr>
    <w:rPr>
      <w:rFonts w:ascii="Calibri" w:eastAsia="宋体" w:hAnsi="Calibri" w:cs="黑体"/>
    </w:rPr>
  </w:style>
  <w:style w:type="paragraph" w:customStyle="1" w:styleId="af7">
    <w:name w:val="表格内文字/左齐"/>
    <w:basedOn w:val="a"/>
    <w:rsid w:val="00BB5935"/>
    <w:pPr>
      <w:tabs>
        <w:tab w:val="left" w:pos="1064"/>
      </w:tabs>
      <w:spacing w:line="300" w:lineRule="auto"/>
      <w:jc w:val="left"/>
    </w:pPr>
    <w:rPr>
      <w:rFonts w:ascii="Times New Roman" w:eastAsia="宋体" w:hAnsi="Times New Roman" w:cs="Times New Roman"/>
      <w:kern w:val="0"/>
      <w:szCs w:val="21"/>
    </w:rPr>
  </w:style>
  <w:style w:type="paragraph" w:customStyle="1" w:styleId="Style34">
    <w:name w:val="_Style 34"/>
    <w:rsid w:val="00BB5935"/>
    <w:pPr>
      <w:ind w:firstLineChars="200" w:firstLine="420"/>
    </w:pPr>
    <w:rPr>
      <w:rFonts w:ascii="Calibri" w:eastAsia="宋体" w:hAnsi="Calibri" w:cs="Times New Roman"/>
      <w:kern w:val="0"/>
      <w:sz w:val="20"/>
      <w:szCs w:val="20"/>
    </w:rPr>
  </w:style>
  <w:style w:type="paragraph" w:customStyle="1" w:styleId="ListParagraph1">
    <w:name w:val="List Paragraph1"/>
    <w:basedOn w:val="a"/>
    <w:rsid w:val="00BB5935"/>
    <w:pPr>
      <w:ind w:firstLineChars="200" w:firstLine="420"/>
    </w:pPr>
    <w:rPr>
      <w:rFonts w:ascii="Calibri" w:eastAsia="宋体" w:hAnsi="Calibri" w:cs="Times New Roman"/>
    </w:rPr>
  </w:style>
  <w:style w:type="character" w:customStyle="1" w:styleId="DateChar">
    <w:name w:val="Date Char"/>
    <w:basedOn w:val="a0"/>
    <w:locked/>
    <w:rsid w:val="00BB5935"/>
    <w:rPr>
      <w:rFonts w:cs="Times New Roman"/>
    </w:rPr>
  </w:style>
  <w:style w:type="character" w:customStyle="1" w:styleId="BalloonTextChar">
    <w:name w:val="Balloon Text Char"/>
    <w:basedOn w:val="a0"/>
    <w:locked/>
    <w:rsid w:val="00BB5935"/>
    <w:rPr>
      <w:rFonts w:ascii="Times New Roman" w:hAnsi="Times New Roman" w:cs="Times New Roman"/>
      <w:sz w:val="18"/>
      <w:szCs w:val="18"/>
    </w:rPr>
  </w:style>
  <w:style w:type="character" w:customStyle="1" w:styleId="Char10">
    <w:name w:val="页眉 Char1"/>
    <w:basedOn w:val="a0"/>
    <w:rsid w:val="00BB5935"/>
    <w:rPr>
      <w:rFonts w:cs="Times New Roman"/>
      <w:sz w:val="18"/>
      <w:szCs w:val="18"/>
    </w:rPr>
  </w:style>
  <w:style w:type="character" w:customStyle="1" w:styleId="Char11">
    <w:name w:val="页脚 Char1"/>
    <w:basedOn w:val="a0"/>
    <w:rsid w:val="00BB5935"/>
    <w:rPr>
      <w:rFonts w:cs="Times New Roman"/>
      <w:sz w:val="18"/>
      <w:szCs w:val="18"/>
    </w:rPr>
  </w:style>
  <w:style w:type="paragraph" w:customStyle="1" w:styleId="WW-Default">
    <w:name w:val="WW-Default"/>
    <w:qFormat/>
    <w:rsid w:val="0078339B"/>
    <w:pPr>
      <w:widowControl w:val="0"/>
      <w:suppressAutoHyphens/>
      <w:autoSpaceDE w:val="0"/>
    </w:pPr>
    <w:rPr>
      <w:rFonts w:ascii="Calibri" w:eastAsia="宋体" w:hAnsi="Calibri"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0C49-F7EC-421C-B525-210EEE34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1517</Words>
  <Characters>8649</Characters>
  <Application>Microsoft Office Word</Application>
  <DocSecurity>0</DocSecurity>
  <Lines>72</Lines>
  <Paragraphs>20</Paragraphs>
  <ScaleCrop>false</ScaleCrop>
  <Company>Microsoft</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关宇刚</dc:creator>
  <cp:lastModifiedBy>马健</cp:lastModifiedBy>
  <cp:revision>2</cp:revision>
  <cp:lastPrinted>2023-07-24T02:29:00Z</cp:lastPrinted>
  <dcterms:created xsi:type="dcterms:W3CDTF">2023-12-01T06:20:00Z</dcterms:created>
  <dcterms:modified xsi:type="dcterms:W3CDTF">2023-12-01T06:20:00Z</dcterms:modified>
</cp:coreProperties>
</file>